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63D1" w14:textId="07DF1626" w:rsidR="00F63200" w:rsidRDefault="006F47A4" w:rsidP="00230AC3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commentRangeStart w:id="0"/>
      <w:r>
        <w:rPr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4DD43ED8" wp14:editId="4E53802C">
            <wp:simplePos x="0" y="0"/>
            <wp:positionH relativeFrom="margin">
              <wp:align>left</wp:align>
            </wp:positionH>
            <wp:positionV relativeFrom="paragraph">
              <wp:posOffset>-1028700</wp:posOffset>
            </wp:positionV>
            <wp:extent cx="2009775" cy="82581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2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B9BD86E" w:rsidRPr="15E919D7">
        <w:rPr>
          <w:b/>
          <w:bCs/>
          <w:sz w:val="32"/>
          <w:szCs w:val="32"/>
        </w:rPr>
        <w:t>Infection Prevention During Wound Care</w:t>
      </w:r>
      <w:r w:rsidR="00105862" w:rsidRPr="15E919D7">
        <w:rPr>
          <w:b/>
          <w:bCs/>
          <w:sz w:val="32"/>
          <w:szCs w:val="32"/>
        </w:rPr>
        <w:t xml:space="preserve"> </w:t>
      </w:r>
      <w:commentRangeEnd w:id="0"/>
      <w:r w:rsidR="00C6319F">
        <w:rPr>
          <w:rStyle w:val="CommentReference"/>
        </w:rPr>
        <w:commentReference w:id="0"/>
      </w:r>
    </w:p>
    <w:p w14:paraId="4FEE2C7B" w14:textId="19B5D2C7" w:rsid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Implemented: </w:t>
      </w:r>
    </w:p>
    <w:p w14:paraId="6F63E353" w14:textId="7F5E0BBD" w:rsidR="00EC4BAD" w:rsidRP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Review/Updated Date: </w:t>
      </w:r>
    </w:p>
    <w:p w14:paraId="5D2054CD" w14:textId="74D59A14" w:rsidR="00076145" w:rsidRPr="006F47A4" w:rsidRDefault="00D30357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Policy</w:t>
      </w:r>
    </w:p>
    <w:p w14:paraId="1B6EE18F" w14:textId="204F6338" w:rsidR="007A6859" w:rsidRDefault="00DB5FB6" w:rsidP="004B6B13">
      <w:pPr>
        <w:rPr>
          <w:sz w:val="24"/>
          <w:szCs w:val="24"/>
        </w:rPr>
      </w:pPr>
      <w:r>
        <w:rPr>
          <w:sz w:val="24"/>
          <w:szCs w:val="24"/>
        </w:rPr>
        <w:t xml:space="preserve">The elderly population present with many chronic and acute wounds that require appropriate infection control and prevention measures to prevent deterioration and further complications </w:t>
      </w:r>
      <w:r w:rsidR="00A62EF7">
        <w:rPr>
          <w:sz w:val="24"/>
          <w:szCs w:val="24"/>
        </w:rPr>
        <w:t xml:space="preserve">to an inherent high-risk population.  It is vital that nurses follow strict infection control and prevention measures to mitigate infection risk in residents.  </w:t>
      </w:r>
      <w:r w:rsidR="00F5600B">
        <w:rPr>
          <w:sz w:val="24"/>
          <w:szCs w:val="24"/>
        </w:rPr>
        <w:t xml:space="preserve"> </w:t>
      </w:r>
    </w:p>
    <w:p w14:paraId="209E1FC1" w14:textId="605CFB75" w:rsidR="00F5600B" w:rsidRDefault="00F5600B" w:rsidP="004B6B13">
      <w:pPr>
        <w:rPr>
          <w:sz w:val="24"/>
          <w:szCs w:val="24"/>
        </w:rPr>
      </w:pPr>
      <w:r>
        <w:rPr>
          <w:sz w:val="24"/>
          <w:szCs w:val="24"/>
        </w:rPr>
        <w:t xml:space="preserve">Wounds in the elderly population present in many different forms including but not limited to </w:t>
      </w:r>
      <w:r w:rsidR="00EB5037">
        <w:rPr>
          <w:sz w:val="24"/>
          <w:szCs w:val="24"/>
        </w:rPr>
        <w:t xml:space="preserve">surgical, skin tears, abrasions, cellulitis and other skin infections, </w:t>
      </w:r>
      <w:r w:rsidR="005B1BCC">
        <w:rPr>
          <w:sz w:val="24"/>
          <w:szCs w:val="24"/>
        </w:rPr>
        <w:t xml:space="preserve">venous/arterial ulcers, diabetic and pressure ulcers.  Nurses </w:t>
      </w:r>
      <w:r w:rsidR="00A1288F">
        <w:rPr>
          <w:sz w:val="24"/>
          <w:szCs w:val="24"/>
        </w:rPr>
        <w:t xml:space="preserve">must appropriately assess the wound type and consult with physicians and/or specialized wound nurses to assure adequate treatment of </w:t>
      </w:r>
      <w:r w:rsidR="00081017">
        <w:rPr>
          <w:sz w:val="24"/>
          <w:szCs w:val="24"/>
        </w:rPr>
        <w:t xml:space="preserve">the wound.  Ongoing assessment is critical to assure that the wound healing progression is adequate and </w:t>
      </w:r>
      <w:r w:rsidR="00557CFC">
        <w:rPr>
          <w:sz w:val="24"/>
          <w:szCs w:val="24"/>
        </w:rPr>
        <w:t xml:space="preserve">whether further interventions are necessary to aide with healing.   </w:t>
      </w:r>
    </w:p>
    <w:p w14:paraId="6A27AC9D" w14:textId="32EE6EED" w:rsidR="00557CFC" w:rsidRDefault="00557CFC" w:rsidP="004B6B13">
      <w:pPr>
        <w:rPr>
          <w:sz w:val="24"/>
          <w:szCs w:val="24"/>
        </w:rPr>
      </w:pPr>
      <w:r>
        <w:rPr>
          <w:sz w:val="24"/>
          <w:szCs w:val="24"/>
        </w:rPr>
        <w:t xml:space="preserve">While general wound management and prevention is covered in a </w:t>
      </w:r>
      <w:r w:rsidR="00EA5EFD">
        <w:rPr>
          <w:sz w:val="24"/>
          <w:szCs w:val="24"/>
        </w:rPr>
        <w:t xml:space="preserve">separate </w:t>
      </w:r>
      <w:r>
        <w:rPr>
          <w:sz w:val="24"/>
          <w:szCs w:val="24"/>
        </w:rPr>
        <w:t xml:space="preserve">policy and procedures, this </w:t>
      </w:r>
      <w:proofErr w:type="gramStart"/>
      <w:r>
        <w:rPr>
          <w:sz w:val="24"/>
          <w:szCs w:val="24"/>
        </w:rPr>
        <w:t>policy</w:t>
      </w:r>
      <w:proofErr w:type="gramEnd"/>
      <w:r>
        <w:rPr>
          <w:sz w:val="24"/>
          <w:szCs w:val="24"/>
        </w:rPr>
        <w:t xml:space="preserve"> and procedure</w:t>
      </w:r>
      <w:r w:rsidR="00A94CD7">
        <w:rPr>
          <w:sz w:val="24"/>
          <w:szCs w:val="24"/>
        </w:rPr>
        <w:t>s</w:t>
      </w:r>
      <w:r>
        <w:rPr>
          <w:sz w:val="24"/>
          <w:szCs w:val="24"/>
        </w:rPr>
        <w:t xml:space="preserve"> focuses on infection prevention during wound care.  </w:t>
      </w:r>
      <w:r w:rsidR="00107799">
        <w:rPr>
          <w:sz w:val="24"/>
          <w:szCs w:val="24"/>
        </w:rPr>
        <w:t xml:space="preserve"> The elderly population is at an increased risk for antibiotic resistant organisms developing in wound beds</w:t>
      </w:r>
      <w:r w:rsidR="00A76428">
        <w:rPr>
          <w:sz w:val="24"/>
          <w:szCs w:val="24"/>
        </w:rPr>
        <w:t>, whether through direct or indirect contact.  While some antibiotic resistant organisms are acquired in a communal living setting, many residents may already have antibiotic resistant organisms colonized in their body</w:t>
      </w:r>
      <w:r w:rsidR="00EA5EFD">
        <w:rPr>
          <w:sz w:val="24"/>
          <w:szCs w:val="24"/>
        </w:rPr>
        <w:t xml:space="preserve">, further increasing the chances of a wound infection.  </w:t>
      </w:r>
    </w:p>
    <w:p w14:paraId="5EB87FAE" w14:textId="0D77E84E" w:rsidR="00547153" w:rsidRDefault="00BB6DB7" w:rsidP="004B6B13">
      <w:pPr>
        <w:rPr>
          <w:sz w:val="24"/>
          <w:szCs w:val="24"/>
        </w:rPr>
      </w:pPr>
      <w:r>
        <w:rPr>
          <w:sz w:val="24"/>
          <w:szCs w:val="24"/>
        </w:rPr>
        <w:t xml:space="preserve">A skin or wound </w:t>
      </w:r>
      <w:r w:rsidR="00DF7304">
        <w:rPr>
          <w:sz w:val="24"/>
          <w:szCs w:val="24"/>
        </w:rPr>
        <w:t>provides a portal of entry for bacteria that are not already present in a resident’s body.  A skin or wound infection may</w:t>
      </w:r>
      <w:r w:rsidR="00544BD4">
        <w:rPr>
          <w:sz w:val="24"/>
          <w:szCs w:val="24"/>
        </w:rPr>
        <w:t xml:space="preserve"> present with a multitude of signs and symptoms.  While one sign or symptom of infection may not be indicative of an infection, </w:t>
      </w:r>
      <w:r w:rsidR="00035519">
        <w:rPr>
          <w:sz w:val="24"/>
          <w:szCs w:val="24"/>
        </w:rPr>
        <w:t xml:space="preserve">it </w:t>
      </w:r>
      <w:r w:rsidR="0095701E">
        <w:rPr>
          <w:sz w:val="24"/>
          <w:szCs w:val="24"/>
        </w:rPr>
        <w:t>can trigger a need for</w:t>
      </w:r>
      <w:r w:rsidR="00544BD4">
        <w:rPr>
          <w:sz w:val="24"/>
          <w:szCs w:val="24"/>
        </w:rPr>
        <w:t xml:space="preserve"> consultation with the resident’s attending physician or wound clinic, as applicable</w:t>
      </w:r>
      <w:r w:rsidR="000E7350">
        <w:rPr>
          <w:sz w:val="24"/>
          <w:szCs w:val="24"/>
        </w:rPr>
        <w:t>.  Signs and symptoms</w:t>
      </w:r>
      <w:r>
        <w:rPr>
          <w:sz w:val="24"/>
          <w:szCs w:val="24"/>
        </w:rPr>
        <w:t xml:space="preserve"> includ</w:t>
      </w:r>
      <w:r w:rsidR="00DF7304">
        <w:rPr>
          <w:sz w:val="24"/>
          <w:szCs w:val="24"/>
        </w:rPr>
        <w:t>e</w:t>
      </w:r>
      <w:r>
        <w:rPr>
          <w:sz w:val="24"/>
          <w:szCs w:val="24"/>
        </w:rPr>
        <w:t xml:space="preserve"> but </w:t>
      </w:r>
      <w:r w:rsidR="00544BD4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not limited to: </w:t>
      </w:r>
    </w:p>
    <w:p w14:paraId="2BE334AA" w14:textId="4A967958" w:rsidR="00BB6DB7" w:rsidRDefault="00BB6DB7" w:rsidP="00BB6DB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Puss present at a wound, </w:t>
      </w:r>
      <w:proofErr w:type="gramStart"/>
      <w:r>
        <w:rPr>
          <w:sz w:val="24"/>
          <w:szCs w:val="24"/>
        </w:rPr>
        <w:t>skin</w:t>
      </w:r>
      <w:proofErr w:type="gramEnd"/>
      <w:r>
        <w:rPr>
          <w:sz w:val="24"/>
          <w:szCs w:val="24"/>
        </w:rPr>
        <w:t xml:space="preserve"> or soft tissue site</w:t>
      </w:r>
    </w:p>
    <w:p w14:paraId="765C09D5" w14:textId="09BA11D8" w:rsidR="00BB6DB7" w:rsidRDefault="006F52C6" w:rsidP="00BB6DB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Heat to the localized area, identified by touching the area or surrounding skin </w:t>
      </w:r>
    </w:p>
    <w:p w14:paraId="543E0F1E" w14:textId="5B4A80A1" w:rsidR="006F52C6" w:rsidRDefault="006F52C6" w:rsidP="00BB6DB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Redness to the wound bed and/or surrounding skin</w:t>
      </w:r>
    </w:p>
    <w:p w14:paraId="3CFC6695" w14:textId="23A84E6C" w:rsidR="009D61BE" w:rsidRDefault="009D61BE" w:rsidP="00BB6DB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Swelling at the wound bed or to areas surrounding the wound</w:t>
      </w:r>
    </w:p>
    <w:p w14:paraId="519EE1F8" w14:textId="3226C1B2" w:rsidR="009D61BE" w:rsidRDefault="009D61BE" w:rsidP="00BB6DB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Tenderness or pain</w:t>
      </w:r>
    </w:p>
    <w:p w14:paraId="44648CFC" w14:textId="0E90D374" w:rsidR="009D61BE" w:rsidRDefault="009D61BE" w:rsidP="00BB6DB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Serous </w:t>
      </w:r>
      <w:r w:rsidR="00AA4E1A">
        <w:rPr>
          <w:sz w:val="24"/>
          <w:szCs w:val="24"/>
        </w:rPr>
        <w:t xml:space="preserve">or purulent </w:t>
      </w:r>
      <w:r>
        <w:rPr>
          <w:sz w:val="24"/>
          <w:szCs w:val="24"/>
        </w:rPr>
        <w:t>drainage</w:t>
      </w:r>
    </w:p>
    <w:p w14:paraId="14E546A6" w14:textId="4E25AD41" w:rsidR="009D61BE" w:rsidRDefault="004B1835" w:rsidP="00BB6DB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Fever and/or leukocytosis</w:t>
      </w:r>
    </w:p>
    <w:p w14:paraId="7BA7155E" w14:textId="328E8946" w:rsidR="00DE5158" w:rsidRDefault="00DE5158" w:rsidP="00DE5158">
      <w:pPr>
        <w:rPr>
          <w:sz w:val="24"/>
          <w:szCs w:val="24"/>
        </w:rPr>
      </w:pPr>
      <w:r>
        <w:rPr>
          <w:sz w:val="24"/>
          <w:szCs w:val="24"/>
        </w:rPr>
        <w:t xml:space="preserve">Wound care </w:t>
      </w:r>
      <w:r w:rsidR="000B0637">
        <w:rPr>
          <w:sz w:val="24"/>
          <w:szCs w:val="24"/>
        </w:rPr>
        <w:t>increases the risk</w:t>
      </w:r>
      <w:r>
        <w:rPr>
          <w:sz w:val="24"/>
          <w:szCs w:val="24"/>
        </w:rPr>
        <w:t xml:space="preserve"> for pathogen transmission b</w:t>
      </w:r>
      <w:r w:rsidR="00E112FC">
        <w:rPr>
          <w:sz w:val="24"/>
          <w:szCs w:val="24"/>
        </w:rPr>
        <w:t xml:space="preserve">y the health care professional by: </w:t>
      </w:r>
    </w:p>
    <w:p w14:paraId="13FCF9DE" w14:textId="36F170F3" w:rsidR="00E112FC" w:rsidRDefault="00E112FC" w:rsidP="00E112F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Allowing lapses in hand hygiene</w:t>
      </w:r>
    </w:p>
    <w:p w14:paraId="1209C432" w14:textId="3B39A3A5" w:rsidR="00E112FC" w:rsidRDefault="00E112FC" w:rsidP="00E112F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Improper selections and use of personal protective equipment and changes </w:t>
      </w:r>
      <w:r w:rsidR="00F65308">
        <w:rPr>
          <w:sz w:val="24"/>
          <w:szCs w:val="24"/>
        </w:rPr>
        <w:t>when appropriate in personal protective equipment</w:t>
      </w:r>
    </w:p>
    <w:p w14:paraId="43C803D5" w14:textId="36BF6661" w:rsidR="00F65308" w:rsidRDefault="00F65308" w:rsidP="00E112F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Splashes or sprays generated during irrigation of colonized or already infected wounds</w:t>
      </w:r>
    </w:p>
    <w:p w14:paraId="4E7D0441" w14:textId="698EDAD5" w:rsidR="00F65308" w:rsidRDefault="00BD6BB3" w:rsidP="00E112F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Contamination by improperly disinfection of equipment</w:t>
      </w:r>
    </w:p>
    <w:p w14:paraId="7E0FA73C" w14:textId="5A770056" w:rsidR="00BD6BB3" w:rsidRDefault="00BD6BB3" w:rsidP="00E112F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Contamination </w:t>
      </w:r>
      <w:r w:rsidR="00C01726">
        <w:rPr>
          <w:sz w:val="24"/>
          <w:szCs w:val="24"/>
        </w:rPr>
        <w:t xml:space="preserve">of products </w:t>
      </w:r>
      <w:r w:rsidR="007135A1">
        <w:rPr>
          <w:sz w:val="24"/>
          <w:szCs w:val="24"/>
        </w:rPr>
        <w:t xml:space="preserve">and/or equipment </w:t>
      </w:r>
      <w:r w:rsidR="00C01726">
        <w:rPr>
          <w:sz w:val="24"/>
          <w:szCs w:val="24"/>
        </w:rPr>
        <w:t>by improper handling</w:t>
      </w:r>
    </w:p>
    <w:p w14:paraId="15A966F7" w14:textId="2953AFE1" w:rsidR="00C01726" w:rsidRPr="00E112FC" w:rsidRDefault="00C01726" w:rsidP="00E112F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Failure of health care personnel to follow appropriate wound care standards of practice</w:t>
      </w:r>
    </w:p>
    <w:p w14:paraId="36D805E3" w14:textId="77777777" w:rsidR="003B308C" w:rsidRDefault="003B308C" w:rsidP="004B6B13">
      <w:pPr>
        <w:rPr>
          <w:b/>
          <w:bCs/>
          <w:sz w:val="24"/>
          <w:szCs w:val="24"/>
          <w:u w:val="single"/>
        </w:rPr>
      </w:pPr>
    </w:p>
    <w:p w14:paraId="66861D93" w14:textId="6520CFFD" w:rsidR="00310C80" w:rsidRPr="006F47A4" w:rsidRDefault="00310C80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Procedures</w:t>
      </w:r>
    </w:p>
    <w:p w14:paraId="1E77C17B" w14:textId="71E60310" w:rsidR="006F47A4" w:rsidRDefault="009E42BE" w:rsidP="00076145">
      <w:pPr>
        <w:rPr>
          <w:sz w:val="24"/>
          <w:szCs w:val="24"/>
        </w:rPr>
      </w:pPr>
      <w:r>
        <w:rPr>
          <w:sz w:val="24"/>
          <w:szCs w:val="24"/>
        </w:rPr>
        <w:t xml:space="preserve">Dressing Changes: </w:t>
      </w:r>
    </w:p>
    <w:p w14:paraId="201067BD" w14:textId="44BB18E7" w:rsidR="009E42BE" w:rsidRDefault="009E42BE" w:rsidP="009E42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Dressing changes should be completed </w:t>
      </w:r>
      <w:r w:rsidR="004A1EF1">
        <w:rPr>
          <w:sz w:val="24"/>
          <w:szCs w:val="24"/>
        </w:rPr>
        <w:t xml:space="preserve">as ordered by the physician, including an as-needed basis to allow for </w:t>
      </w:r>
      <w:r w:rsidR="005C2F37">
        <w:rPr>
          <w:sz w:val="24"/>
          <w:szCs w:val="24"/>
        </w:rPr>
        <w:t xml:space="preserve">soiled dressings to be changed as indicated. </w:t>
      </w:r>
    </w:p>
    <w:p w14:paraId="01B9E91B" w14:textId="76E21D0F" w:rsidR="001E3198" w:rsidRDefault="001E3198" w:rsidP="009E42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Dressing changes should be performed in a clean environment that allows for a lessened chance of contamination.  Generally, dressing changes are completed in a private location such as the </w:t>
      </w:r>
      <w:r w:rsidR="000E0441">
        <w:rPr>
          <w:sz w:val="24"/>
          <w:szCs w:val="24"/>
        </w:rPr>
        <w:t>resident’s</w:t>
      </w:r>
      <w:r>
        <w:rPr>
          <w:sz w:val="24"/>
          <w:szCs w:val="24"/>
        </w:rPr>
        <w:t xml:space="preserve"> room</w:t>
      </w:r>
      <w:r w:rsidR="000E0441">
        <w:rPr>
          <w:sz w:val="24"/>
          <w:szCs w:val="24"/>
        </w:rPr>
        <w:t xml:space="preserve"> but may be completed in other private locations depending on the circumstances, for example the shower room following a shower.  </w:t>
      </w:r>
      <w:r w:rsidR="005C2F37">
        <w:rPr>
          <w:sz w:val="24"/>
          <w:szCs w:val="24"/>
        </w:rPr>
        <w:t xml:space="preserve"> The location of a dressing change is referred to as the “care area” in this policy and procedures. </w:t>
      </w:r>
    </w:p>
    <w:p w14:paraId="3D560F88" w14:textId="7C24A8FB" w:rsidR="000E0441" w:rsidRDefault="000E0441" w:rsidP="009E42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General infection control</w:t>
      </w:r>
      <w:r w:rsidR="000C5A13">
        <w:rPr>
          <w:sz w:val="24"/>
          <w:szCs w:val="24"/>
        </w:rPr>
        <w:t xml:space="preserve"> guidelines related to dressing changes include: </w:t>
      </w:r>
    </w:p>
    <w:p w14:paraId="16887DB9" w14:textId="3D4CD67D" w:rsidR="00E515E2" w:rsidRDefault="007743EE" w:rsidP="009F622E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Equipment</w:t>
      </w:r>
      <w:r w:rsidR="00250D9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346A816" w14:textId="77777777" w:rsidR="00E515E2" w:rsidRDefault="009F622E" w:rsidP="00E515E2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All equipment should be gathered prior to entering the </w:t>
      </w:r>
      <w:r w:rsidR="00E515E2">
        <w:rPr>
          <w:sz w:val="24"/>
          <w:szCs w:val="24"/>
        </w:rPr>
        <w:t>care area.</w:t>
      </w:r>
      <w:r>
        <w:rPr>
          <w:sz w:val="24"/>
          <w:szCs w:val="24"/>
        </w:rPr>
        <w:t xml:space="preserve">  </w:t>
      </w:r>
      <w:r w:rsidR="00E515E2">
        <w:rPr>
          <w:sz w:val="24"/>
          <w:szCs w:val="24"/>
        </w:rPr>
        <w:t>Additional</w:t>
      </w:r>
      <w:r>
        <w:rPr>
          <w:sz w:val="24"/>
          <w:szCs w:val="24"/>
        </w:rPr>
        <w:t xml:space="preserve"> trips to gather supplies leads to an increased chance of contamination of the resident’s wound or contamination of areas touched by the nurse. </w:t>
      </w:r>
    </w:p>
    <w:p w14:paraId="25739714" w14:textId="6B5A8489" w:rsidR="000C5A13" w:rsidRDefault="00E515E2" w:rsidP="00E515E2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Only equipment necessary to complete the dressing change should be taken into the care area.  </w:t>
      </w:r>
      <w:r w:rsidR="00CE76AD">
        <w:rPr>
          <w:sz w:val="24"/>
          <w:szCs w:val="24"/>
        </w:rPr>
        <w:t>Taking excess dressings into the ca</w:t>
      </w:r>
      <w:r w:rsidR="006275FD">
        <w:rPr>
          <w:sz w:val="24"/>
          <w:szCs w:val="24"/>
        </w:rPr>
        <w:t xml:space="preserve">re area will require the unused dressings to be stored safely in the resident’s </w:t>
      </w:r>
      <w:r w:rsidR="00A3458E">
        <w:rPr>
          <w:sz w:val="24"/>
          <w:szCs w:val="24"/>
        </w:rPr>
        <w:t>room or</w:t>
      </w:r>
      <w:r w:rsidR="006275FD">
        <w:rPr>
          <w:sz w:val="24"/>
          <w:szCs w:val="24"/>
        </w:rPr>
        <w:t xml:space="preserve"> be discarded.  Unused dressing supplies </w:t>
      </w:r>
      <w:r w:rsidR="00A3458E">
        <w:rPr>
          <w:sz w:val="24"/>
          <w:szCs w:val="24"/>
        </w:rPr>
        <w:t xml:space="preserve">cannot be restocked. </w:t>
      </w:r>
    </w:p>
    <w:p w14:paraId="0A9B7BE7" w14:textId="7C490873" w:rsidR="00C94CB4" w:rsidRPr="00E515E2" w:rsidRDefault="00C94CB4" w:rsidP="00E515E2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When removing equipment (such as scissors) from a care area</w:t>
      </w:r>
      <w:r w:rsidR="00F335FC">
        <w:rPr>
          <w:sz w:val="24"/>
          <w:szCs w:val="24"/>
        </w:rPr>
        <w:t>, the health</w:t>
      </w:r>
      <w:r w:rsidR="00D64414">
        <w:rPr>
          <w:sz w:val="24"/>
          <w:szCs w:val="24"/>
        </w:rPr>
        <w:t xml:space="preserve"> </w:t>
      </w:r>
      <w:r w:rsidR="00F335FC">
        <w:rPr>
          <w:sz w:val="24"/>
          <w:szCs w:val="24"/>
        </w:rPr>
        <w:t xml:space="preserve">care provider shall appropriately disinfect all items prior to placing on or in a treatment cart.  </w:t>
      </w:r>
    </w:p>
    <w:p w14:paraId="37235969" w14:textId="77777777" w:rsidR="00250D94" w:rsidRDefault="00250D94" w:rsidP="000C5A13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Barriers:</w:t>
      </w:r>
    </w:p>
    <w:p w14:paraId="282B3084" w14:textId="77777777" w:rsidR="00250D94" w:rsidRDefault="00B546D9" w:rsidP="00250D94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Any items utilized for dressing changes should be placed on a barrier </w:t>
      </w:r>
      <w:r w:rsidR="00B57E38">
        <w:rPr>
          <w:sz w:val="24"/>
          <w:szCs w:val="24"/>
        </w:rPr>
        <w:t xml:space="preserve">to prevent contamination of the items from the resident’s belongings.  </w:t>
      </w:r>
    </w:p>
    <w:p w14:paraId="04DAE8C2" w14:textId="77777777" w:rsidR="00250D94" w:rsidRDefault="00B57E38" w:rsidP="00250D94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Barriers c</w:t>
      </w:r>
      <w:r w:rsidR="00D73104">
        <w:rPr>
          <w:sz w:val="24"/>
          <w:szCs w:val="24"/>
        </w:rPr>
        <w:t>an</w:t>
      </w:r>
      <w:r>
        <w:rPr>
          <w:sz w:val="24"/>
          <w:szCs w:val="24"/>
        </w:rPr>
        <w:t xml:space="preserve"> include but are not limited to disposable pads</w:t>
      </w:r>
      <w:r w:rsidR="00E467E9">
        <w:rPr>
          <w:sz w:val="24"/>
          <w:szCs w:val="24"/>
        </w:rPr>
        <w:t xml:space="preserve"> and/or</w:t>
      </w:r>
      <w:r>
        <w:rPr>
          <w:sz w:val="24"/>
          <w:szCs w:val="24"/>
        </w:rPr>
        <w:t xml:space="preserve"> clean towels or washcloths</w:t>
      </w:r>
      <w:r w:rsidR="00E467E9">
        <w:rPr>
          <w:sz w:val="24"/>
          <w:szCs w:val="24"/>
        </w:rPr>
        <w:t xml:space="preserve">. </w:t>
      </w:r>
    </w:p>
    <w:p w14:paraId="752B7CFD" w14:textId="0127D64B" w:rsidR="00B546D9" w:rsidRDefault="00E467E9" w:rsidP="00250D94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 separate barrier should be used for contaminated items once they have been used for the dressing change to prevent contamination of the resident’s environment or </w:t>
      </w:r>
      <w:r w:rsidR="00FA69A3">
        <w:rPr>
          <w:sz w:val="24"/>
          <w:szCs w:val="24"/>
        </w:rPr>
        <w:t xml:space="preserve">contamination of clean items. </w:t>
      </w:r>
    </w:p>
    <w:p w14:paraId="7054B084" w14:textId="121F56A5" w:rsidR="006A729F" w:rsidRDefault="006A729F" w:rsidP="00250D94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Soiled dressings should be discarded immediately upon removal. </w:t>
      </w:r>
    </w:p>
    <w:p w14:paraId="4A1C7F59" w14:textId="77777777" w:rsidR="00393835" w:rsidRDefault="00034BF9" w:rsidP="000C5A13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Medications</w:t>
      </w:r>
      <w:r w:rsidR="006F49D2">
        <w:rPr>
          <w:sz w:val="24"/>
          <w:szCs w:val="24"/>
        </w:rPr>
        <w:t>:</w:t>
      </w:r>
    </w:p>
    <w:p w14:paraId="68F70D8D" w14:textId="4A71BB8F" w:rsidR="00034BF9" w:rsidRDefault="00393835" w:rsidP="00393835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Any medication</w:t>
      </w:r>
      <w:r w:rsidR="00034BF9">
        <w:rPr>
          <w:sz w:val="24"/>
          <w:szCs w:val="24"/>
        </w:rPr>
        <w:t xml:space="preserve"> required for </w:t>
      </w:r>
      <w:r>
        <w:rPr>
          <w:sz w:val="24"/>
          <w:szCs w:val="24"/>
        </w:rPr>
        <w:t xml:space="preserve">a </w:t>
      </w:r>
      <w:r w:rsidR="00034BF9">
        <w:rPr>
          <w:sz w:val="24"/>
          <w:szCs w:val="24"/>
        </w:rPr>
        <w:t xml:space="preserve">dressing change shall also be placed on a barrier.  </w:t>
      </w:r>
      <w:r w:rsidR="006B3DB7">
        <w:rPr>
          <w:sz w:val="24"/>
          <w:szCs w:val="24"/>
        </w:rPr>
        <w:t xml:space="preserve">Medications should be dedicated to one resident only, or a small amount of medication shall be taken into the </w:t>
      </w:r>
      <w:r w:rsidR="00FD7DCC">
        <w:rPr>
          <w:sz w:val="24"/>
          <w:szCs w:val="24"/>
        </w:rPr>
        <w:t xml:space="preserve">care area in an appropriate manner, such as placing cream in a disposable medication cup. </w:t>
      </w:r>
    </w:p>
    <w:p w14:paraId="15327287" w14:textId="77777777" w:rsidR="003950F2" w:rsidRDefault="003950F2" w:rsidP="000C5A13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PPE Use: </w:t>
      </w:r>
    </w:p>
    <w:p w14:paraId="497E8002" w14:textId="77777777" w:rsidR="003950F2" w:rsidRDefault="00690626" w:rsidP="003950F2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Standard Precautions should </w:t>
      </w:r>
      <w:r w:rsidR="00273DBC">
        <w:rPr>
          <w:sz w:val="24"/>
          <w:szCs w:val="24"/>
        </w:rPr>
        <w:t xml:space="preserve">be </w:t>
      </w:r>
      <w:proofErr w:type="gramStart"/>
      <w:r w:rsidR="00273DBC">
        <w:rPr>
          <w:sz w:val="24"/>
          <w:szCs w:val="24"/>
        </w:rPr>
        <w:t>used at all times</w:t>
      </w:r>
      <w:proofErr w:type="gramEnd"/>
      <w:r>
        <w:rPr>
          <w:sz w:val="24"/>
          <w:szCs w:val="24"/>
        </w:rPr>
        <w:t xml:space="preserve">, including hand hygiene.  </w:t>
      </w:r>
    </w:p>
    <w:p w14:paraId="7449286F" w14:textId="44DA4896" w:rsidR="005E2843" w:rsidRDefault="003950F2" w:rsidP="003950F2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If the wound</w:t>
      </w:r>
      <w:r w:rsidR="00690626">
        <w:rPr>
          <w:sz w:val="24"/>
          <w:szCs w:val="24"/>
        </w:rPr>
        <w:t xml:space="preserve"> presents with a large amount of drainage,</w:t>
      </w:r>
      <w:r w:rsidR="00350C71">
        <w:rPr>
          <w:sz w:val="24"/>
          <w:szCs w:val="24"/>
        </w:rPr>
        <w:t xml:space="preserve"> </w:t>
      </w:r>
      <w:r w:rsidR="00273DBC">
        <w:rPr>
          <w:sz w:val="24"/>
          <w:szCs w:val="24"/>
        </w:rPr>
        <w:t>additional items</w:t>
      </w:r>
      <w:r w:rsidR="005E2843">
        <w:rPr>
          <w:sz w:val="24"/>
          <w:szCs w:val="24"/>
        </w:rPr>
        <w:t>, such as a facemask and eye protection</w:t>
      </w:r>
      <w:r w:rsidR="001577B7">
        <w:rPr>
          <w:sz w:val="24"/>
          <w:szCs w:val="24"/>
        </w:rPr>
        <w:t>,</w:t>
      </w:r>
      <w:r w:rsidR="00273DBC">
        <w:rPr>
          <w:sz w:val="24"/>
          <w:szCs w:val="24"/>
        </w:rPr>
        <w:t xml:space="preserve"> may be </w:t>
      </w:r>
      <w:r w:rsidR="005E2843">
        <w:rPr>
          <w:sz w:val="24"/>
          <w:szCs w:val="24"/>
        </w:rPr>
        <w:t>indicate</w:t>
      </w:r>
      <w:r w:rsidR="001577B7">
        <w:rPr>
          <w:sz w:val="24"/>
          <w:szCs w:val="24"/>
        </w:rPr>
        <w:t>d</w:t>
      </w:r>
      <w:r w:rsidR="00273DBC">
        <w:rPr>
          <w:sz w:val="24"/>
          <w:szCs w:val="24"/>
        </w:rPr>
        <w:t xml:space="preserve">.  </w:t>
      </w:r>
    </w:p>
    <w:p w14:paraId="6DDCB36D" w14:textId="1EDB3FFD" w:rsidR="00690626" w:rsidRDefault="005E2843" w:rsidP="003950F2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273DBC">
        <w:rPr>
          <w:sz w:val="24"/>
          <w:szCs w:val="24"/>
        </w:rPr>
        <w:t>the resident requires transmission-based precautions</w:t>
      </w:r>
      <w:r>
        <w:rPr>
          <w:sz w:val="24"/>
          <w:szCs w:val="24"/>
        </w:rPr>
        <w:t>,</w:t>
      </w:r>
      <w:r w:rsidR="00273DBC">
        <w:rPr>
          <w:sz w:val="24"/>
          <w:szCs w:val="24"/>
        </w:rPr>
        <w:t xml:space="preserve"> additional measures may be indicated</w:t>
      </w:r>
      <w:r w:rsidR="00A90257">
        <w:rPr>
          <w:sz w:val="24"/>
          <w:szCs w:val="24"/>
        </w:rPr>
        <w:t xml:space="preserve">, including a gown, </w:t>
      </w:r>
      <w:r w:rsidR="0096754F">
        <w:rPr>
          <w:sz w:val="24"/>
          <w:szCs w:val="24"/>
        </w:rPr>
        <w:t>mask,</w:t>
      </w:r>
      <w:r w:rsidR="00A90257">
        <w:rPr>
          <w:sz w:val="24"/>
          <w:szCs w:val="24"/>
        </w:rPr>
        <w:t xml:space="preserve"> and eye protection.  </w:t>
      </w:r>
      <w:r w:rsidR="006F05A7">
        <w:rPr>
          <w:sz w:val="24"/>
          <w:szCs w:val="24"/>
        </w:rPr>
        <w:t xml:space="preserve">  </w:t>
      </w:r>
    </w:p>
    <w:p w14:paraId="5224EA8D" w14:textId="3D330CD9" w:rsidR="006F05A7" w:rsidRDefault="006F05A7" w:rsidP="001577B7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Gloves must be changed each time a nurse performs a “dirty” procedure and is going to a “clean” procedure.  For example,</w:t>
      </w:r>
      <w:r w:rsidR="005C0CDA">
        <w:rPr>
          <w:sz w:val="24"/>
          <w:szCs w:val="24"/>
        </w:rPr>
        <w:t xml:space="preserve"> upon beginning the dressing change</w:t>
      </w:r>
      <w:r w:rsidR="00977FE8">
        <w:rPr>
          <w:sz w:val="24"/>
          <w:szCs w:val="24"/>
        </w:rPr>
        <w:t>,</w:t>
      </w:r>
      <w:r w:rsidR="005C0CDA">
        <w:rPr>
          <w:sz w:val="24"/>
          <w:szCs w:val="24"/>
        </w:rPr>
        <w:t xml:space="preserve"> the nurse will perform hand hygiene and don gloves.  The nurse will remove the old dressing and discard.  The nurse will then doff gloves, perform hand hygiene, and will don a new pair of gloves before moving onto cleaning the wound. </w:t>
      </w:r>
    </w:p>
    <w:p w14:paraId="7245B0F7" w14:textId="38866519" w:rsidR="005C0CDA" w:rsidRDefault="00485C4E" w:rsidP="00C77AC5">
      <w:pPr>
        <w:pStyle w:val="ListParagraph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Each time the nurse changes or removes their gloves, hand hygiene must be completed.  Generally, alcohol-based hand rub can be utilized, however, </w:t>
      </w:r>
      <w:r w:rsidR="00E81A83">
        <w:rPr>
          <w:sz w:val="24"/>
          <w:szCs w:val="24"/>
        </w:rPr>
        <w:t xml:space="preserve">handwashing may be required.  </w:t>
      </w:r>
    </w:p>
    <w:p w14:paraId="16E1517E" w14:textId="4627EFFD" w:rsidR="00E81A83" w:rsidRDefault="00E81A83" w:rsidP="000C5A13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Nurses should follow standards of practice for dressing changes including cleansing from the </w:t>
      </w:r>
      <w:r w:rsidR="003815E9">
        <w:rPr>
          <w:sz w:val="24"/>
          <w:szCs w:val="24"/>
        </w:rPr>
        <w:t>inside to the outside to prevent contamination of the wound bed</w:t>
      </w:r>
      <w:r w:rsidR="004B09A3">
        <w:rPr>
          <w:sz w:val="24"/>
          <w:szCs w:val="24"/>
        </w:rPr>
        <w:t xml:space="preserve"> and not re-using the same area of a wipe, gauze</w:t>
      </w:r>
      <w:r w:rsidR="00977FE8">
        <w:rPr>
          <w:sz w:val="24"/>
          <w:szCs w:val="24"/>
        </w:rPr>
        <w:t>,</w:t>
      </w:r>
      <w:r w:rsidR="004B09A3">
        <w:rPr>
          <w:sz w:val="24"/>
          <w:szCs w:val="24"/>
        </w:rPr>
        <w:t xml:space="preserve"> or washcloth to cleanse more than one time.  </w:t>
      </w:r>
    </w:p>
    <w:p w14:paraId="337012FF" w14:textId="052EA238" w:rsidR="00B33211" w:rsidRDefault="00CF005C" w:rsidP="000C5A13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Equipment and dressing supplies shall never be placed into a health</w:t>
      </w:r>
      <w:r w:rsidR="00977F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care providers scrub or jacket pocket.  </w:t>
      </w:r>
    </w:p>
    <w:p w14:paraId="3BCF54B4" w14:textId="77777777" w:rsidR="003B308C" w:rsidRDefault="003B308C" w:rsidP="007C011D">
      <w:pPr>
        <w:rPr>
          <w:b/>
          <w:bCs/>
          <w:sz w:val="24"/>
          <w:szCs w:val="24"/>
          <w:u w:val="single"/>
        </w:rPr>
      </w:pPr>
    </w:p>
    <w:p w14:paraId="13D4ADCF" w14:textId="77777777" w:rsidR="003B308C" w:rsidRDefault="003B308C" w:rsidP="007C011D">
      <w:pPr>
        <w:rPr>
          <w:b/>
          <w:bCs/>
          <w:sz w:val="24"/>
          <w:szCs w:val="24"/>
          <w:u w:val="single"/>
        </w:rPr>
      </w:pPr>
    </w:p>
    <w:p w14:paraId="204F888C" w14:textId="77777777" w:rsidR="003B308C" w:rsidRDefault="003B308C" w:rsidP="007C011D">
      <w:pPr>
        <w:rPr>
          <w:b/>
          <w:bCs/>
          <w:sz w:val="24"/>
          <w:szCs w:val="24"/>
          <w:u w:val="single"/>
        </w:rPr>
      </w:pPr>
    </w:p>
    <w:p w14:paraId="06FD70A5" w14:textId="77777777" w:rsidR="003B308C" w:rsidRDefault="003B308C" w:rsidP="007C011D">
      <w:pPr>
        <w:rPr>
          <w:b/>
          <w:bCs/>
          <w:sz w:val="24"/>
          <w:szCs w:val="24"/>
          <w:u w:val="single"/>
        </w:rPr>
      </w:pPr>
    </w:p>
    <w:p w14:paraId="25182DF7" w14:textId="43D7316C" w:rsidR="007C011D" w:rsidRPr="00FB4CC8" w:rsidRDefault="007C011D" w:rsidP="007C011D">
      <w:pPr>
        <w:rPr>
          <w:b/>
          <w:bCs/>
          <w:u w:val="single"/>
        </w:rPr>
      </w:pPr>
      <w:r w:rsidRPr="00FB4CC8">
        <w:rPr>
          <w:b/>
          <w:bCs/>
          <w:sz w:val="24"/>
          <w:szCs w:val="24"/>
          <w:u w:val="single"/>
        </w:rPr>
        <w:t>Resources</w:t>
      </w:r>
    </w:p>
    <w:p w14:paraId="2BA8172D" w14:textId="77777777" w:rsidR="007C011D" w:rsidRPr="008624A0" w:rsidRDefault="007C011D" w:rsidP="007C01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CMS. (2017, Nov. 2). </w:t>
      </w:r>
      <w:r w:rsidRPr="00BC56F1">
        <w:rPr>
          <w:i/>
          <w:iCs/>
          <w:sz w:val="24"/>
          <w:szCs w:val="24"/>
        </w:rPr>
        <w:t>State Operations Manual, Appendix PP – Guidance to Surveyors for Long Term Care Facilities, F880</w:t>
      </w:r>
      <w:r>
        <w:rPr>
          <w:sz w:val="24"/>
          <w:szCs w:val="24"/>
        </w:rPr>
        <w:t xml:space="preserve">. </w:t>
      </w:r>
      <w:hyperlink r:id="rId15" w:history="1">
        <w:r w:rsidRPr="004317CC">
          <w:rPr>
            <w:rStyle w:val="Hyperlink"/>
            <w:color w:val="007DB1"/>
            <w:sz w:val="24"/>
            <w:szCs w:val="24"/>
          </w:rPr>
          <w:t>https://www.cms.gov/Medicare/Provider-Enrollment-and-Certification/GuidanceforLawsAndRegulations/Downloads/Appendix-PP-State-Operations-Manual.pdf</w:t>
        </w:r>
      </w:hyperlink>
      <w:r>
        <w:rPr>
          <w:sz w:val="24"/>
          <w:szCs w:val="24"/>
        </w:rPr>
        <w:t xml:space="preserve"> </w:t>
      </w:r>
    </w:p>
    <w:p w14:paraId="525B17B4" w14:textId="5A7A7BC9" w:rsidR="006E3919" w:rsidRPr="007C011D" w:rsidRDefault="007C011D" w:rsidP="007C011D">
      <w:pPr>
        <w:ind w:left="720" w:hanging="720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CDC. (2020, June 10). </w:t>
      </w:r>
      <w:r w:rsidRPr="00BC756F">
        <w:rPr>
          <w:i/>
          <w:iCs/>
          <w:sz w:val="24"/>
          <w:szCs w:val="24"/>
        </w:rPr>
        <w:t>Infection Prevention Training | LTCF</w:t>
      </w:r>
      <w:r>
        <w:rPr>
          <w:sz w:val="24"/>
          <w:szCs w:val="24"/>
        </w:rPr>
        <w:t>.</w:t>
      </w:r>
      <w:r w:rsidRPr="0091661D">
        <w:rPr>
          <w:sz w:val="24"/>
          <w:szCs w:val="24"/>
        </w:rPr>
        <w:t xml:space="preserve"> </w:t>
      </w:r>
      <w:hyperlink r:id="rId16" w:history="1">
        <w:r w:rsidRPr="00BC756F">
          <w:rPr>
            <w:rStyle w:val="Hyperlink"/>
            <w:color w:val="007DB1"/>
            <w:sz w:val="24"/>
            <w:szCs w:val="24"/>
          </w:rPr>
          <w:t>https://www.cdc.gov/longtermcare/training.html</w:t>
        </w:r>
      </w:hyperlink>
    </w:p>
    <w:sectPr w:rsidR="006E3919" w:rsidRPr="007C011D" w:rsidSect="001848FA">
      <w:footerReference w:type="default" r:id="rId1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nnon Strickler" w:date="2021-09-03T17:09:00Z" w:initials="SS">
    <w:p w14:paraId="4C5015F5" w14:textId="77777777" w:rsidR="00C6319F" w:rsidRDefault="00C6319F">
      <w:pPr>
        <w:pStyle w:val="CommentText"/>
      </w:pPr>
      <w:r>
        <w:rPr>
          <w:rStyle w:val="CommentReference"/>
        </w:rPr>
        <w:annotationRef/>
      </w:r>
      <w:r>
        <w:t xml:space="preserve">I don’t think this is the correct </w:t>
      </w:r>
      <w:proofErr w:type="gramStart"/>
      <w:r>
        <w:t>title?</w:t>
      </w:r>
      <w:proofErr w:type="gramEnd"/>
    </w:p>
    <w:p w14:paraId="4DB3262C" w14:textId="22DE7C37" w:rsidR="00C6319F" w:rsidRDefault="00C6319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B3262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CD533" w16cex:dateUtc="2021-09-03T2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B3262C" w16cid:durableId="24DCD5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0270" w14:textId="77777777" w:rsidR="00BC29C8" w:rsidRDefault="00BC29C8" w:rsidP="00076145">
      <w:pPr>
        <w:spacing w:after="0" w:line="240" w:lineRule="auto"/>
      </w:pPr>
      <w:r>
        <w:separator/>
      </w:r>
    </w:p>
  </w:endnote>
  <w:endnote w:type="continuationSeparator" w:id="0">
    <w:p w14:paraId="0909B0A5" w14:textId="77777777" w:rsidR="00BC29C8" w:rsidRDefault="00BC29C8" w:rsidP="00076145">
      <w:pPr>
        <w:spacing w:after="0" w:line="240" w:lineRule="auto"/>
      </w:pPr>
      <w:r>
        <w:continuationSeparator/>
      </w:r>
    </w:p>
  </w:endnote>
  <w:endnote w:type="continuationNotice" w:id="1">
    <w:p w14:paraId="705B622B" w14:textId="77777777" w:rsidR="00827BF3" w:rsidRDefault="00827B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185" w14:textId="4D6F81A0" w:rsidR="001848FA" w:rsidRPr="001848FA" w:rsidRDefault="001848FA" w:rsidP="001848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A884" w14:textId="77777777" w:rsidR="00BC29C8" w:rsidRDefault="00BC29C8" w:rsidP="00076145">
      <w:pPr>
        <w:spacing w:after="0" w:line="240" w:lineRule="auto"/>
      </w:pPr>
      <w:r>
        <w:separator/>
      </w:r>
    </w:p>
  </w:footnote>
  <w:footnote w:type="continuationSeparator" w:id="0">
    <w:p w14:paraId="56C1BD34" w14:textId="77777777" w:rsidR="00BC29C8" w:rsidRDefault="00BC29C8" w:rsidP="00076145">
      <w:pPr>
        <w:spacing w:after="0" w:line="240" w:lineRule="auto"/>
      </w:pPr>
      <w:r>
        <w:continuationSeparator/>
      </w:r>
    </w:p>
  </w:footnote>
  <w:footnote w:type="continuationNotice" w:id="1">
    <w:p w14:paraId="5BC01903" w14:textId="77777777" w:rsidR="00827BF3" w:rsidRDefault="00827B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D74"/>
    <w:multiLevelType w:val="hybridMultilevel"/>
    <w:tmpl w:val="397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1CD"/>
    <w:multiLevelType w:val="hybridMultilevel"/>
    <w:tmpl w:val="522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E99"/>
    <w:multiLevelType w:val="hybridMultilevel"/>
    <w:tmpl w:val="536814A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1B540D10"/>
    <w:multiLevelType w:val="hybridMultilevel"/>
    <w:tmpl w:val="8B2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3CE9"/>
    <w:multiLevelType w:val="hybridMultilevel"/>
    <w:tmpl w:val="EB5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F3"/>
    <w:multiLevelType w:val="hybridMultilevel"/>
    <w:tmpl w:val="B026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020E2"/>
    <w:multiLevelType w:val="hybridMultilevel"/>
    <w:tmpl w:val="553C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2421"/>
    <w:multiLevelType w:val="hybridMultilevel"/>
    <w:tmpl w:val="712E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710ED"/>
    <w:multiLevelType w:val="hybridMultilevel"/>
    <w:tmpl w:val="0AE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40F6"/>
    <w:multiLevelType w:val="hybridMultilevel"/>
    <w:tmpl w:val="D3702E2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4BD85871"/>
    <w:multiLevelType w:val="hybridMultilevel"/>
    <w:tmpl w:val="3F7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90876"/>
    <w:multiLevelType w:val="hybridMultilevel"/>
    <w:tmpl w:val="9FE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667B9"/>
    <w:multiLevelType w:val="hybridMultilevel"/>
    <w:tmpl w:val="D3B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0F90"/>
    <w:multiLevelType w:val="hybridMultilevel"/>
    <w:tmpl w:val="949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D6689"/>
    <w:multiLevelType w:val="hybridMultilevel"/>
    <w:tmpl w:val="E13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4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non Strickler">
    <w15:presenceInfo w15:providerId="AD" w15:userId="S::sstrickler@leadingageiowa.org::64f87f44-9182-4df1-aa7f-b85382529e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45"/>
    <w:rsid w:val="00003DFF"/>
    <w:rsid w:val="00022E4A"/>
    <w:rsid w:val="00031061"/>
    <w:rsid w:val="00034BF9"/>
    <w:rsid w:val="00035519"/>
    <w:rsid w:val="00056C55"/>
    <w:rsid w:val="00065C8C"/>
    <w:rsid w:val="00076145"/>
    <w:rsid w:val="00077DAE"/>
    <w:rsid w:val="00081017"/>
    <w:rsid w:val="00084D7A"/>
    <w:rsid w:val="000909F8"/>
    <w:rsid w:val="000B0542"/>
    <w:rsid w:val="000B0637"/>
    <w:rsid w:val="000C4D7B"/>
    <w:rsid w:val="000C5A13"/>
    <w:rsid w:val="000D12E8"/>
    <w:rsid w:val="000D213F"/>
    <w:rsid w:val="000D7053"/>
    <w:rsid w:val="000E0441"/>
    <w:rsid w:val="000E219D"/>
    <w:rsid w:val="000E7350"/>
    <w:rsid w:val="000F6A97"/>
    <w:rsid w:val="00102E37"/>
    <w:rsid w:val="00105862"/>
    <w:rsid w:val="00107799"/>
    <w:rsid w:val="00127ED1"/>
    <w:rsid w:val="00137593"/>
    <w:rsid w:val="00142793"/>
    <w:rsid w:val="001577B7"/>
    <w:rsid w:val="001655CB"/>
    <w:rsid w:val="001672E8"/>
    <w:rsid w:val="001848FA"/>
    <w:rsid w:val="001A794C"/>
    <w:rsid w:val="001D2FCC"/>
    <w:rsid w:val="001E0029"/>
    <w:rsid w:val="001E3198"/>
    <w:rsid w:val="00230AC3"/>
    <w:rsid w:val="00250D94"/>
    <w:rsid w:val="00257EA1"/>
    <w:rsid w:val="00272D84"/>
    <w:rsid w:val="00273DBC"/>
    <w:rsid w:val="00280C7F"/>
    <w:rsid w:val="00296E2C"/>
    <w:rsid w:val="002B401B"/>
    <w:rsid w:val="002E6900"/>
    <w:rsid w:val="002F219A"/>
    <w:rsid w:val="003073E5"/>
    <w:rsid w:val="0031082D"/>
    <w:rsid w:val="00310C80"/>
    <w:rsid w:val="00325BD3"/>
    <w:rsid w:val="00332397"/>
    <w:rsid w:val="00335015"/>
    <w:rsid w:val="00350C71"/>
    <w:rsid w:val="00351282"/>
    <w:rsid w:val="003815E9"/>
    <w:rsid w:val="00393835"/>
    <w:rsid w:val="003950F2"/>
    <w:rsid w:val="003A4568"/>
    <w:rsid w:val="003B0C4C"/>
    <w:rsid w:val="003B308C"/>
    <w:rsid w:val="003D005A"/>
    <w:rsid w:val="003E2B66"/>
    <w:rsid w:val="00400937"/>
    <w:rsid w:val="00412844"/>
    <w:rsid w:val="004232F0"/>
    <w:rsid w:val="00464FF1"/>
    <w:rsid w:val="00467307"/>
    <w:rsid w:val="004766E1"/>
    <w:rsid w:val="00485C4E"/>
    <w:rsid w:val="004A1EF1"/>
    <w:rsid w:val="004B09A3"/>
    <w:rsid w:val="004B1835"/>
    <w:rsid w:val="004B3029"/>
    <w:rsid w:val="004B6B13"/>
    <w:rsid w:val="004C058D"/>
    <w:rsid w:val="004C3260"/>
    <w:rsid w:val="004E4CDE"/>
    <w:rsid w:val="004F0971"/>
    <w:rsid w:val="005341B2"/>
    <w:rsid w:val="00544BD4"/>
    <w:rsid w:val="00547153"/>
    <w:rsid w:val="00557CFC"/>
    <w:rsid w:val="00584E02"/>
    <w:rsid w:val="005B0C80"/>
    <w:rsid w:val="005B1BCC"/>
    <w:rsid w:val="005C0CDA"/>
    <w:rsid w:val="005C2F37"/>
    <w:rsid w:val="005D6827"/>
    <w:rsid w:val="005D6E5A"/>
    <w:rsid w:val="005E2843"/>
    <w:rsid w:val="005E38F4"/>
    <w:rsid w:val="005E434A"/>
    <w:rsid w:val="005F359D"/>
    <w:rsid w:val="0062476E"/>
    <w:rsid w:val="006275FD"/>
    <w:rsid w:val="00641491"/>
    <w:rsid w:val="0068770D"/>
    <w:rsid w:val="00690626"/>
    <w:rsid w:val="00694498"/>
    <w:rsid w:val="006958A6"/>
    <w:rsid w:val="006A5416"/>
    <w:rsid w:val="006A729F"/>
    <w:rsid w:val="006B2DBD"/>
    <w:rsid w:val="006B3DB7"/>
    <w:rsid w:val="006E3919"/>
    <w:rsid w:val="006F05A7"/>
    <w:rsid w:val="006F47A4"/>
    <w:rsid w:val="006F49D2"/>
    <w:rsid w:val="006F52C6"/>
    <w:rsid w:val="007135A1"/>
    <w:rsid w:val="007743EE"/>
    <w:rsid w:val="00775063"/>
    <w:rsid w:val="00776966"/>
    <w:rsid w:val="00795286"/>
    <w:rsid w:val="007A6859"/>
    <w:rsid w:val="007B0554"/>
    <w:rsid w:val="007B6686"/>
    <w:rsid w:val="007B6E8D"/>
    <w:rsid w:val="007C011D"/>
    <w:rsid w:val="007C27B7"/>
    <w:rsid w:val="007D4791"/>
    <w:rsid w:val="007E381D"/>
    <w:rsid w:val="007E62CB"/>
    <w:rsid w:val="007F08EC"/>
    <w:rsid w:val="008249A0"/>
    <w:rsid w:val="00827BF3"/>
    <w:rsid w:val="0084191F"/>
    <w:rsid w:val="00877DAF"/>
    <w:rsid w:val="0088449A"/>
    <w:rsid w:val="00892B45"/>
    <w:rsid w:val="008A061D"/>
    <w:rsid w:val="0092641E"/>
    <w:rsid w:val="00934F56"/>
    <w:rsid w:val="0095701E"/>
    <w:rsid w:val="00963BD9"/>
    <w:rsid w:val="0096754F"/>
    <w:rsid w:val="00977FE8"/>
    <w:rsid w:val="009D61BE"/>
    <w:rsid w:val="009E42BE"/>
    <w:rsid w:val="009F4C3C"/>
    <w:rsid w:val="009F622E"/>
    <w:rsid w:val="00A06CBA"/>
    <w:rsid w:val="00A07685"/>
    <w:rsid w:val="00A1288F"/>
    <w:rsid w:val="00A21913"/>
    <w:rsid w:val="00A3458E"/>
    <w:rsid w:val="00A41320"/>
    <w:rsid w:val="00A62106"/>
    <w:rsid w:val="00A62EF7"/>
    <w:rsid w:val="00A6529A"/>
    <w:rsid w:val="00A74771"/>
    <w:rsid w:val="00A76428"/>
    <w:rsid w:val="00A90257"/>
    <w:rsid w:val="00A94CD7"/>
    <w:rsid w:val="00A964A5"/>
    <w:rsid w:val="00AA4E1A"/>
    <w:rsid w:val="00AB2E8C"/>
    <w:rsid w:val="00AF12F6"/>
    <w:rsid w:val="00B03EE1"/>
    <w:rsid w:val="00B06631"/>
    <w:rsid w:val="00B33211"/>
    <w:rsid w:val="00B34E1D"/>
    <w:rsid w:val="00B373DD"/>
    <w:rsid w:val="00B546D9"/>
    <w:rsid w:val="00B57E38"/>
    <w:rsid w:val="00B9155A"/>
    <w:rsid w:val="00BB6DB7"/>
    <w:rsid w:val="00BC29C8"/>
    <w:rsid w:val="00BD6BB3"/>
    <w:rsid w:val="00BF1D17"/>
    <w:rsid w:val="00C01726"/>
    <w:rsid w:val="00C15A2E"/>
    <w:rsid w:val="00C474E1"/>
    <w:rsid w:val="00C6319F"/>
    <w:rsid w:val="00C77AC5"/>
    <w:rsid w:val="00C94CB4"/>
    <w:rsid w:val="00CE76AD"/>
    <w:rsid w:val="00CE7897"/>
    <w:rsid w:val="00CF005C"/>
    <w:rsid w:val="00D30357"/>
    <w:rsid w:val="00D54BA5"/>
    <w:rsid w:val="00D62FB7"/>
    <w:rsid w:val="00D64414"/>
    <w:rsid w:val="00D73104"/>
    <w:rsid w:val="00D823C3"/>
    <w:rsid w:val="00DB5FB6"/>
    <w:rsid w:val="00DC22DF"/>
    <w:rsid w:val="00DE5158"/>
    <w:rsid w:val="00DF7304"/>
    <w:rsid w:val="00E000F3"/>
    <w:rsid w:val="00E112FC"/>
    <w:rsid w:val="00E2187D"/>
    <w:rsid w:val="00E22090"/>
    <w:rsid w:val="00E467E9"/>
    <w:rsid w:val="00E50CEE"/>
    <w:rsid w:val="00E515E2"/>
    <w:rsid w:val="00E74E8D"/>
    <w:rsid w:val="00E81A83"/>
    <w:rsid w:val="00EA4ADA"/>
    <w:rsid w:val="00EA5EFD"/>
    <w:rsid w:val="00EA74F7"/>
    <w:rsid w:val="00EB5037"/>
    <w:rsid w:val="00EC4BAD"/>
    <w:rsid w:val="00EE0E6A"/>
    <w:rsid w:val="00EE38E3"/>
    <w:rsid w:val="00EF4C94"/>
    <w:rsid w:val="00F12F50"/>
    <w:rsid w:val="00F26D3C"/>
    <w:rsid w:val="00F335FC"/>
    <w:rsid w:val="00F47C21"/>
    <w:rsid w:val="00F5600B"/>
    <w:rsid w:val="00F63200"/>
    <w:rsid w:val="00F65308"/>
    <w:rsid w:val="00F7714B"/>
    <w:rsid w:val="00F84CA3"/>
    <w:rsid w:val="00F90ABA"/>
    <w:rsid w:val="00FA69A3"/>
    <w:rsid w:val="00FD7DCC"/>
    <w:rsid w:val="00FF7CD2"/>
    <w:rsid w:val="15E919D7"/>
    <w:rsid w:val="1B9BD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33FF2"/>
  <w15:chartTrackingRefBased/>
  <w15:docId w15:val="{DB52E503-DBEA-4AFA-A6D4-840C619A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76145"/>
    <w:pPr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145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semiHidden/>
    <w:rsid w:val="00076145"/>
    <w:rPr>
      <w:vertAlign w:val="superscript"/>
    </w:rPr>
  </w:style>
  <w:style w:type="character" w:styleId="Hyperlink">
    <w:name w:val="Hyperlink"/>
    <w:rsid w:val="0007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A"/>
  </w:style>
  <w:style w:type="paragraph" w:styleId="Footer">
    <w:name w:val="footer"/>
    <w:basedOn w:val="Normal"/>
    <w:link w:val="Foot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A"/>
  </w:style>
  <w:style w:type="character" w:styleId="CommentReference">
    <w:name w:val="annotation reference"/>
    <w:basedOn w:val="DefaultParagraphFont"/>
    <w:uiPriority w:val="99"/>
    <w:semiHidden/>
    <w:unhideWhenUsed/>
    <w:rsid w:val="0082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longtermcare/training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s://www.cms.gov/Medicare/Provider-Enrollment-and-Certification/GuidanceforLawsAndRegulations/Downloads/Appendix-PP-State-Operations-Manual.pdf" TargetMode="External"/><Relationship Id="rId10" Type="http://schemas.openxmlformats.org/officeDocument/2006/relationships/image" Target="media/image1.gif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BD929-337B-4250-B43B-D3D661A16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BF42F-2A8B-489E-A712-B8C3055A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0A1A4-61C1-4D59-9660-B8505831EFC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ea872ada-39ed-421f-9b33-c2a54aef194c"/>
    <ds:schemaRef ds:uri="http://purl.org/dc/dcmitype/"/>
    <ds:schemaRef ds:uri="http://schemas.openxmlformats.org/package/2006/metadata/core-properties"/>
    <ds:schemaRef ds:uri="40630134-8b2e-44b5-89ec-4a9fd5334ea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1029</Words>
  <Characters>5866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LaGrange</dc:creator>
  <cp:keywords/>
  <dc:description/>
  <cp:lastModifiedBy>Kellie Van Ree</cp:lastModifiedBy>
  <cp:revision>93</cp:revision>
  <dcterms:created xsi:type="dcterms:W3CDTF">2021-08-25T20:16:00Z</dcterms:created>
  <dcterms:modified xsi:type="dcterms:W3CDTF">2021-09-07T17:27:00Z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