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B98E" w14:textId="77777777" w:rsidR="009337E0" w:rsidRDefault="009337E0" w:rsidP="00F7395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</w:p>
    <w:p w14:paraId="79C18738" w14:textId="34E451AA" w:rsidR="00437D05" w:rsidRPr="00B431C2" w:rsidRDefault="000F4FBE" w:rsidP="00F73957">
      <w:pPr>
        <w:jc w:val="center"/>
        <w:rPr>
          <w:rFonts w:ascii="Arial" w:hAnsi="Arial" w:cs="Arial"/>
          <w:b/>
          <w:sz w:val="32"/>
          <w:szCs w:val="32"/>
        </w:rPr>
      </w:pPr>
      <w:r w:rsidRPr="00B431C2">
        <w:rPr>
          <w:rFonts w:ascii="Arial" w:hAnsi="Arial" w:cs="Arial"/>
          <w:b/>
          <w:sz w:val="32"/>
          <w:szCs w:val="32"/>
        </w:rPr>
        <w:t>Mitigating Staff Shortages Flow Chart</w:t>
      </w:r>
    </w:p>
    <w:p w14:paraId="4D7B7CA2" w14:textId="681B4285" w:rsidR="00341DF0" w:rsidRPr="00B431C2" w:rsidRDefault="00102179" w:rsidP="002D33A8">
      <w:pPr>
        <w:ind w:left="-1080"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Providers </w:t>
      </w:r>
      <w:r w:rsidR="00046EB0" w:rsidRPr="00B431C2">
        <w:rPr>
          <w:rFonts w:ascii="Arial" w:hAnsi="Arial" w:cs="Arial"/>
        </w:rPr>
        <w:t>must understand their staffing needs and the minimum number of staff needed to provide a safe work environment and safe patient care.  When staffing shortages occur, providers must document efforts to maintain minimum staffing levels to provide resident care and services</w:t>
      </w:r>
      <w:r w:rsidR="001326E0" w:rsidRPr="00B431C2">
        <w:rPr>
          <w:rFonts w:ascii="Arial" w:hAnsi="Arial" w:cs="Arial"/>
        </w:rPr>
        <w:t xml:space="preserve">.  This flow chart describes strategies when minimum staffing levels cannot be met and implementation of contingency and crisis capacity staffing measures to mitigate shortages. </w:t>
      </w:r>
      <w:r w:rsidR="00EE4E13" w:rsidRPr="00B431C2">
        <w:rPr>
          <w:rFonts w:ascii="Arial" w:hAnsi="Arial" w:cs="Arial"/>
        </w:rPr>
        <w:t xml:space="preserve"> It is imper</w:t>
      </w:r>
      <w:r w:rsidR="00CC54A7" w:rsidRPr="00B431C2">
        <w:rPr>
          <w:rFonts w:ascii="Arial" w:hAnsi="Arial" w:cs="Arial"/>
        </w:rPr>
        <w:t xml:space="preserve">ative that providers establish and routinely review emergency staffing plans. </w:t>
      </w:r>
    </w:p>
    <w:p w14:paraId="0F94285B" w14:textId="32BAB683" w:rsidR="00D03737" w:rsidRPr="00B431C2" w:rsidRDefault="00A47F8F" w:rsidP="002D33A8">
      <w:pPr>
        <w:ind w:left="-1080"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Healthcare Providers</w:t>
      </w:r>
      <w:r w:rsidR="00DB2F2C" w:rsidRPr="00B431C2">
        <w:rPr>
          <w:rFonts w:ascii="Arial" w:hAnsi="Arial" w:cs="Arial"/>
        </w:rPr>
        <w:t xml:space="preserve"> (in collaboration with risk management) should inform residents/tenants and healthcare staff when utilizing contingency and crisis capacity strategies, specify the changes in practice</w:t>
      </w:r>
      <w:r w:rsidR="00C90D4A" w:rsidRPr="00B431C2">
        <w:rPr>
          <w:rFonts w:ascii="Arial" w:hAnsi="Arial" w:cs="Arial"/>
        </w:rPr>
        <w:t xml:space="preserve"> that should be expected, and describe the actions that will be taken to protect residents/tenants </w:t>
      </w:r>
      <w:r w:rsidR="007A6C01" w:rsidRPr="00B431C2">
        <w:rPr>
          <w:rFonts w:ascii="Arial" w:hAnsi="Arial" w:cs="Arial"/>
        </w:rPr>
        <w:t xml:space="preserve">from exposure to COVID-19 if healthcare professionals with suspected or confirmed COVID-19 infection are requested to work to fulfill staffing needs. </w:t>
      </w:r>
    </w:p>
    <w:tbl>
      <w:tblPr>
        <w:tblStyle w:val="TableGrid"/>
        <w:tblW w:w="11515" w:type="dxa"/>
        <w:tblInd w:w="-1080" w:type="dxa"/>
        <w:tblLook w:val="04A0" w:firstRow="1" w:lastRow="0" w:firstColumn="1" w:lastColumn="0" w:noHBand="0" w:noVBand="1"/>
      </w:tblPr>
      <w:tblGrid>
        <w:gridCol w:w="3775"/>
        <w:gridCol w:w="1620"/>
        <w:gridCol w:w="6120"/>
      </w:tblGrid>
      <w:tr w:rsidR="009144CB" w:rsidRPr="00BE7178" w14:paraId="622C7D2D" w14:textId="77777777" w:rsidTr="00D800B5">
        <w:trPr>
          <w:trHeight w:val="395"/>
        </w:trPr>
        <w:tc>
          <w:tcPr>
            <w:tcW w:w="11515" w:type="dxa"/>
            <w:gridSpan w:val="3"/>
            <w:shd w:val="clear" w:color="auto" w:fill="739600"/>
            <w:vAlign w:val="center"/>
          </w:tcPr>
          <w:p w14:paraId="681AAB5A" w14:textId="78A2B9D7" w:rsidR="009144CB" w:rsidRPr="00B431C2" w:rsidRDefault="009144CB" w:rsidP="00D800B5">
            <w:pPr>
              <w:ind w:right="-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31C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Conventional Capacity Strategies</w:t>
            </w:r>
          </w:p>
        </w:tc>
      </w:tr>
      <w:tr w:rsidR="009144CB" w:rsidRPr="00A80092" w14:paraId="6BB2094B" w14:textId="77777777" w:rsidTr="00D800B5">
        <w:tc>
          <w:tcPr>
            <w:tcW w:w="3775" w:type="dxa"/>
            <w:vAlign w:val="center"/>
          </w:tcPr>
          <w:p w14:paraId="5FCB0D40" w14:textId="77777777" w:rsidR="009144CB" w:rsidRPr="00B431C2" w:rsidRDefault="009144CB" w:rsidP="00D800B5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Mitigation Measure</w:t>
            </w:r>
          </w:p>
        </w:tc>
        <w:tc>
          <w:tcPr>
            <w:tcW w:w="1620" w:type="dxa"/>
            <w:vAlign w:val="center"/>
          </w:tcPr>
          <w:p w14:paraId="0BC82B4B" w14:textId="77777777" w:rsidR="009144CB" w:rsidRPr="00B431C2" w:rsidRDefault="009144CB" w:rsidP="00D800B5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Date</w:t>
            </w:r>
          </w:p>
          <w:p w14:paraId="193183F6" w14:textId="77777777" w:rsidR="009144CB" w:rsidRPr="00B431C2" w:rsidRDefault="009144CB" w:rsidP="00D800B5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Implemented</w:t>
            </w:r>
          </w:p>
        </w:tc>
        <w:tc>
          <w:tcPr>
            <w:tcW w:w="6120" w:type="dxa"/>
            <w:vAlign w:val="center"/>
          </w:tcPr>
          <w:p w14:paraId="1BA03230" w14:textId="77777777" w:rsidR="009144CB" w:rsidRPr="00B431C2" w:rsidRDefault="009144CB" w:rsidP="00D800B5">
            <w:pPr>
              <w:ind w:right="-11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Notes</w:t>
            </w:r>
          </w:p>
        </w:tc>
      </w:tr>
      <w:tr w:rsidR="009144CB" w:rsidRPr="00A80092" w14:paraId="7019F2F3" w14:textId="77777777" w:rsidTr="00D800B5">
        <w:trPr>
          <w:trHeight w:val="593"/>
        </w:trPr>
        <w:tc>
          <w:tcPr>
            <w:tcW w:w="3775" w:type="dxa"/>
            <w:vAlign w:val="center"/>
          </w:tcPr>
          <w:p w14:paraId="281B6262" w14:textId="1720D661" w:rsidR="009144CB" w:rsidRPr="00B431C2" w:rsidRDefault="009144CB" w:rsidP="009144CB">
            <w:pPr>
              <w:ind w:right="-15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Ensure any COVID-19 vaccine requirements for HCP are followed, and where none are applicable, encourage the HCP to remain up to date with all recommended COVID-19 vaccines.   </w:t>
            </w:r>
          </w:p>
        </w:tc>
        <w:tc>
          <w:tcPr>
            <w:tcW w:w="1620" w:type="dxa"/>
          </w:tcPr>
          <w:p w14:paraId="3D99FEE0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7D3B6D5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</w:tr>
      <w:tr w:rsidR="009144CB" w:rsidRPr="00A80092" w14:paraId="42D302E8" w14:textId="77777777" w:rsidTr="00D800B5">
        <w:tc>
          <w:tcPr>
            <w:tcW w:w="3775" w:type="dxa"/>
          </w:tcPr>
          <w:p w14:paraId="2E8A51DC" w14:textId="49F84E82" w:rsidR="009144CB" w:rsidRPr="00B431C2" w:rsidRDefault="009144CB" w:rsidP="009144CB">
            <w:pPr>
              <w:ind w:right="-15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Understand the normal staffing needs and the minimum number of staff needed to provide a safe work environment and safe patient care under normal circumstances.  </w:t>
            </w:r>
          </w:p>
        </w:tc>
        <w:tc>
          <w:tcPr>
            <w:tcW w:w="1620" w:type="dxa"/>
          </w:tcPr>
          <w:p w14:paraId="0B7328E3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BF43646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</w:tr>
      <w:tr w:rsidR="009144CB" w:rsidRPr="00A80092" w14:paraId="08B66C31" w14:textId="77777777" w:rsidTr="00D800B5">
        <w:tc>
          <w:tcPr>
            <w:tcW w:w="3775" w:type="dxa"/>
          </w:tcPr>
          <w:p w14:paraId="34235234" w14:textId="41FFC6F6" w:rsidR="009144CB" w:rsidRPr="00B431C2" w:rsidRDefault="00BB6E5F" w:rsidP="009144CB">
            <w:pPr>
              <w:ind w:right="-15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Understand the local epidemiology of COVID-19 related indicators (such as community transmission levels).</w:t>
            </w:r>
          </w:p>
        </w:tc>
        <w:tc>
          <w:tcPr>
            <w:tcW w:w="1620" w:type="dxa"/>
          </w:tcPr>
          <w:p w14:paraId="4A155926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009F2DA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</w:tr>
      <w:tr w:rsidR="009144CB" w:rsidRPr="00A80092" w14:paraId="65B19C06" w14:textId="77777777" w:rsidTr="00D800B5">
        <w:tc>
          <w:tcPr>
            <w:tcW w:w="3775" w:type="dxa"/>
          </w:tcPr>
          <w:p w14:paraId="596142DB" w14:textId="139B6664" w:rsidR="009144CB" w:rsidRPr="00B431C2" w:rsidRDefault="00BB6E5F" w:rsidP="009144CB">
            <w:pPr>
              <w:ind w:right="-15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Communicate with local healthcare coalitions and federal, </w:t>
            </w:r>
            <w:proofErr w:type="gramStart"/>
            <w:r w:rsidRPr="00B431C2">
              <w:rPr>
                <w:rFonts w:ascii="Arial" w:hAnsi="Arial" w:cs="Arial"/>
              </w:rPr>
              <w:t>state</w:t>
            </w:r>
            <w:proofErr w:type="gramEnd"/>
            <w:r w:rsidRPr="00B431C2">
              <w:rPr>
                <w:rFonts w:ascii="Arial" w:hAnsi="Arial" w:cs="Arial"/>
              </w:rPr>
              <w:t xml:space="preserve"> and local public health partners </w:t>
            </w:r>
            <w:r w:rsidR="00A637CD" w:rsidRPr="00B431C2">
              <w:rPr>
                <w:rFonts w:ascii="Arial" w:hAnsi="Arial" w:cs="Arial"/>
              </w:rPr>
              <w:t xml:space="preserve">to identify additional HCP </w:t>
            </w:r>
            <w:r w:rsidR="001B3DE1" w:rsidRPr="00B431C2">
              <w:rPr>
                <w:rFonts w:ascii="Arial" w:hAnsi="Arial" w:cs="Arial"/>
              </w:rPr>
              <w:t xml:space="preserve">(hiring additional HCP, recruiting retired HCP, using students or volunteers), when needed. </w:t>
            </w:r>
            <w:r w:rsidR="009144CB" w:rsidRPr="00B431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14:paraId="034EA819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B938711" w14:textId="77777777" w:rsidR="009144CB" w:rsidRPr="00B431C2" w:rsidRDefault="009144CB" w:rsidP="00D800B5">
            <w:pPr>
              <w:ind w:right="-1080"/>
              <w:rPr>
                <w:rFonts w:ascii="Arial" w:hAnsi="Arial" w:cs="Arial"/>
              </w:rPr>
            </w:pPr>
          </w:p>
        </w:tc>
      </w:tr>
    </w:tbl>
    <w:p w14:paraId="5A70DBBE" w14:textId="77777777" w:rsidR="00210DD3" w:rsidRPr="00B431C2" w:rsidRDefault="00210DD3" w:rsidP="002D33A8">
      <w:pPr>
        <w:ind w:left="-1080" w:right="-1080"/>
        <w:rPr>
          <w:rFonts w:ascii="Arial" w:hAnsi="Arial" w:cs="Arial"/>
        </w:rPr>
      </w:pPr>
    </w:p>
    <w:p w14:paraId="4DB167A6" w14:textId="77777777" w:rsidR="00210DD3" w:rsidRPr="00B431C2" w:rsidRDefault="00210DD3" w:rsidP="002D33A8">
      <w:pPr>
        <w:ind w:left="-1080" w:right="-1080"/>
        <w:rPr>
          <w:rFonts w:ascii="Arial" w:hAnsi="Arial" w:cs="Arial"/>
        </w:rPr>
      </w:pPr>
    </w:p>
    <w:p w14:paraId="0ED02BAD" w14:textId="77777777" w:rsidR="00AC56AC" w:rsidRPr="00B431C2" w:rsidRDefault="00AC56AC" w:rsidP="002D33A8">
      <w:pPr>
        <w:ind w:left="-1080" w:right="-1080"/>
        <w:rPr>
          <w:rFonts w:ascii="Arial" w:hAnsi="Arial" w:cs="Arial"/>
        </w:rPr>
      </w:pPr>
    </w:p>
    <w:p w14:paraId="18E17289" w14:textId="77777777" w:rsidR="00AC56AC" w:rsidRPr="00B431C2" w:rsidRDefault="00AC56AC" w:rsidP="002D33A8">
      <w:pPr>
        <w:ind w:left="-1080" w:right="-1080"/>
        <w:rPr>
          <w:rFonts w:ascii="Arial" w:hAnsi="Arial" w:cs="Arial"/>
        </w:rPr>
      </w:pPr>
    </w:p>
    <w:p w14:paraId="6F3F1ABA" w14:textId="77777777" w:rsidR="00AC56AC" w:rsidRPr="00B431C2" w:rsidRDefault="00AC56AC" w:rsidP="002D33A8">
      <w:pPr>
        <w:ind w:left="-1080" w:right="-1080"/>
        <w:rPr>
          <w:rFonts w:ascii="Arial" w:hAnsi="Arial" w:cs="Arial"/>
        </w:rPr>
      </w:pPr>
    </w:p>
    <w:p w14:paraId="5B31D4D6" w14:textId="77777777" w:rsidR="00AC56AC" w:rsidRPr="00B431C2" w:rsidRDefault="00AC56AC" w:rsidP="002D33A8">
      <w:pPr>
        <w:ind w:left="-1080" w:right="-1080"/>
        <w:rPr>
          <w:rFonts w:ascii="Arial" w:hAnsi="Arial" w:cs="Arial"/>
        </w:rPr>
      </w:pPr>
    </w:p>
    <w:tbl>
      <w:tblPr>
        <w:tblStyle w:val="TableGrid"/>
        <w:tblW w:w="11515" w:type="dxa"/>
        <w:tblInd w:w="-1080" w:type="dxa"/>
        <w:tblLook w:val="04A0" w:firstRow="1" w:lastRow="0" w:firstColumn="1" w:lastColumn="0" w:noHBand="0" w:noVBand="1"/>
      </w:tblPr>
      <w:tblGrid>
        <w:gridCol w:w="3775"/>
        <w:gridCol w:w="1620"/>
        <w:gridCol w:w="6120"/>
      </w:tblGrid>
      <w:tr w:rsidR="00BE7178" w14:paraId="224BFAC5" w14:textId="77777777" w:rsidTr="00437D05">
        <w:trPr>
          <w:trHeight w:val="395"/>
        </w:trPr>
        <w:tc>
          <w:tcPr>
            <w:tcW w:w="11515" w:type="dxa"/>
            <w:gridSpan w:val="3"/>
            <w:shd w:val="clear" w:color="auto" w:fill="739600"/>
            <w:vAlign w:val="center"/>
          </w:tcPr>
          <w:p w14:paraId="33280B73" w14:textId="06ED3186" w:rsidR="00BE7178" w:rsidRPr="00B431C2" w:rsidRDefault="00BE7178" w:rsidP="00437D05">
            <w:pPr>
              <w:ind w:right="-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31C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Contingency Capacity Strategies</w:t>
            </w:r>
          </w:p>
        </w:tc>
      </w:tr>
      <w:tr w:rsidR="00341DF0" w14:paraId="00BA7764" w14:textId="77777777" w:rsidTr="00355A31">
        <w:tc>
          <w:tcPr>
            <w:tcW w:w="3775" w:type="dxa"/>
            <w:vAlign w:val="center"/>
          </w:tcPr>
          <w:p w14:paraId="57E00FB0" w14:textId="28DF093F" w:rsidR="00341DF0" w:rsidRPr="00B431C2" w:rsidRDefault="002D33A8" w:rsidP="00355A31">
            <w:pPr>
              <w:ind w:right="-1080"/>
              <w:rPr>
                <w:rFonts w:ascii="Arial" w:hAnsi="Arial" w:cs="Arial"/>
                <w:b/>
              </w:rPr>
            </w:pPr>
            <w:bookmarkStart w:id="0" w:name="_Hlk91059264"/>
            <w:r w:rsidRPr="00B431C2">
              <w:rPr>
                <w:rFonts w:ascii="Arial" w:hAnsi="Arial" w:cs="Arial"/>
                <w:b/>
              </w:rPr>
              <w:t>Mitigation Measure</w:t>
            </w:r>
          </w:p>
        </w:tc>
        <w:tc>
          <w:tcPr>
            <w:tcW w:w="1620" w:type="dxa"/>
            <w:vAlign w:val="center"/>
          </w:tcPr>
          <w:p w14:paraId="4916EA07" w14:textId="77777777" w:rsidR="002D33A8" w:rsidRPr="00B431C2" w:rsidRDefault="002D33A8" w:rsidP="00355A31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Date</w:t>
            </w:r>
          </w:p>
          <w:p w14:paraId="49C6AEA6" w14:textId="0F1CE996" w:rsidR="00341DF0" w:rsidRPr="00B431C2" w:rsidRDefault="002D33A8" w:rsidP="00355A31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Implemented</w:t>
            </w:r>
          </w:p>
        </w:tc>
        <w:tc>
          <w:tcPr>
            <w:tcW w:w="6120" w:type="dxa"/>
            <w:vAlign w:val="center"/>
          </w:tcPr>
          <w:p w14:paraId="6626FCBB" w14:textId="3544F375" w:rsidR="00341DF0" w:rsidRPr="00B431C2" w:rsidRDefault="002D33A8" w:rsidP="00355A31">
            <w:pPr>
              <w:ind w:right="-11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Notes</w:t>
            </w:r>
          </w:p>
        </w:tc>
      </w:tr>
      <w:bookmarkEnd w:id="0"/>
      <w:tr w:rsidR="00341DF0" w14:paraId="2ABE97B1" w14:textId="77777777" w:rsidTr="00C2505E">
        <w:trPr>
          <w:trHeight w:val="593"/>
        </w:trPr>
        <w:tc>
          <w:tcPr>
            <w:tcW w:w="3775" w:type="dxa"/>
            <w:vAlign w:val="center"/>
          </w:tcPr>
          <w:p w14:paraId="0C82E88F" w14:textId="3B7FFC8B" w:rsidR="00341DF0" w:rsidRPr="00B431C2" w:rsidRDefault="00762C1F" w:rsidP="00C2505E">
            <w:pPr>
              <w:ind w:right="-108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Cancel all non-essential tasks</w:t>
            </w:r>
            <w:r w:rsidR="00C961D8" w:rsidRPr="00B431C2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620" w:type="dxa"/>
          </w:tcPr>
          <w:p w14:paraId="15207664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96AA166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341DF0" w14:paraId="499F4CAF" w14:textId="77777777" w:rsidTr="00BE7178">
        <w:tc>
          <w:tcPr>
            <w:tcW w:w="3775" w:type="dxa"/>
          </w:tcPr>
          <w:p w14:paraId="6CCE2406" w14:textId="1CD27613" w:rsidR="00341DF0" w:rsidRPr="00B431C2" w:rsidRDefault="00C961D8" w:rsidP="00F71C5F">
            <w:pPr>
              <w:ind w:right="-11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Shift </w:t>
            </w:r>
            <w:r w:rsidR="000F6F37" w:rsidRPr="00B431C2">
              <w:rPr>
                <w:rFonts w:ascii="Arial" w:hAnsi="Arial" w:cs="Arial"/>
              </w:rPr>
              <w:t>HCP</w:t>
            </w:r>
            <w:r w:rsidRPr="00B431C2">
              <w:rPr>
                <w:rFonts w:ascii="Arial" w:hAnsi="Arial" w:cs="Arial"/>
              </w:rPr>
              <w:t xml:space="preserve"> who </w:t>
            </w:r>
            <w:proofErr w:type="gramStart"/>
            <w:r w:rsidRPr="00B431C2">
              <w:rPr>
                <w:rFonts w:ascii="Arial" w:hAnsi="Arial" w:cs="Arial"/>
              </w:rPr>
              <w:t>work</w:t>
            </w:r>
            <w:proofErr w:type="gramEnd"/>
            <w:r w:rsidRPr="00B431C2">
              <w:rPr>
                <w:rFonts w:ascii="Arial" w:hAnsi="Arial" w:cs="Arial"/>
              </w:rPr>
              <w:t xml:space="preserve"> in these</w:t>
            </w:r>
            <w:r w:rsidR="00F71C5F" w:rsidRPr="00B431C2">
              <w:rPr>
                <w:rFonts w:ascii="Arial" w:hAnsi="Arial" w:cs="Arial"/>
              </w:rPr>
              <w:t xml:space="preserve"> areas to support other resident care activities</w:t>
            </w:r>
            <w:r w:rsidR="000F6F37" w:rsidRPr="00B431C2">
              <w:rPr>
                <w:rFonts w:ascii="Arial" w:hAnsi="Arial" w:cs="Arial"/>
              </w:rPr>
              <w:t xml:space="preserve">. Ensure these HCP receive appropriate training to work in these areas. </w:t>
            </w:r>
          </w:p>
        </w:tc>
        <w:tc>
          <w:tcPr>
            <w:tcW w:w="1620" w:type="dxa"/>
          </w:tcPr>
          <w:p w14:paraId="3B48DDA6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56BF4E8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341DF0" w14:paraId="30F021C7" w14:textId="77777777" w:rsidTr="00BE7178">
        <w:tc>
          <w:tcPr>
            <w:tcW w:w="3775" w:type="dxa"/>
          </w:tcPr>
          <w:p w14:paraId="7F4DBEB2" w14:textId="45469772" w:rsidR="00341DF0" w:rsidRPr="00B431C2" w:rsidRDefault="00B5082E" w:rsidP="00B5082E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Identify the potential for non-COVID-19 related reasons why staff are not reporting to work</w:t>
            </w:r>
            <w:r w:rsidR="00845F37" w:rsidRPr="00B431C2">
              <w:rPr>
                <w:rFonts w:ascii="Arial" w:hAnsi="Arial" w:cs="Arial"/>
              </w:rPr>
              <w:t xml:space="preserve"> and address any factors that are contributing to this. </w:t>
            </w:r>
            <w:r w:rsidRPr="00B431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14:paraId="6499ACCC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686EAF1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341DF0" w14:paraId="5B5439A2" w14:textId="77777777" w:rsidTr="00BE7178">
        <w:tc>
          <w:tcPr>
            <w:tcW w:w="3775" w:type="dxa"/>
          </w:tcPr>
          <w:p w14:paraId="074C9D72" w14:textId="7A6189E5" w:rsidR="00341DF0" w:rsidRPr="00B431C2" w:rsidRDefault="00067BC0" w:rsidP="00B5082E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Identify additional HCP to work in the facility.  This could include therapy staff, agency staff, staff from other entities within your organization. </w:t>
            </w:r>
          </w:p>
        </w:tc>
        <w:tc>
          <w:tcPr>
            <w:tcW w:w="1620" w:type="dxa"/>
          </w:tcPr>
          <w:p w14:paraId="2140E333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158EBA0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341DF0" w14:paraId="60DE2B30" w14:textId="77777777" w:rsidTr="00BE7178">
        <w:tc>
          <w:tcPr>
            <w:tcW w:w="3775" w:type="dxa"/>
          </w:tcPr>
          <w:p w14:paraId="4933D3E4" w14:textId="13CD8E59" w:rsidR="00341DF0" w:rsidRPr="00B431C2" w:rsidRDefault="002334F1" w:rsidP="00B5082E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Consider limiting non-essential time off work.  *Mitigate potential mental health </w:t>
            </w:r>
            <w:r w:rsidR="00AB633C" w:rsidRPr="00B431C2">
              <w:rPr>
                <w:rFonts w:ascii="Arial" w:hAnsi="Arial" w:cs="Arial"/>
              </w:rPr>
              <w:t xml:space="preserve">risks of not allowing time off work. </w:t>
            </w:r>
          </w:p>
        </w:tc>
        <w:tc>
          <w:tcPr>
            <w:tcW w:w="1620" w:type="dxa"/>
          </w:tcPr>
          <w:p w14:paraId="6454BC13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1C01479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341DF0" w14:paraId="022A1DC6" w14:textId="77777777" w:rsidTr="00BE7178">
        <w:tc>
          <w:tcPr>
            <w:tcW w:w="3775" w:type="dxa"/>
          </w:tcPr>
          <w:p w14:paraId="462BCA59" w14:textId="3359930F" w:rsidR="00341DF0" w:rsidRPr="00B431C2" w:rsidRDefault="00AB633C" w:rsidP="00B5082E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Develop plans to identify designated healthcare </w:t>
            </w:r>
            <w:r w:rsidR="005F5670" w:rsidRPr="00B431C2">
              <w:rPr>
                <w:rFonts w:ascii="Arial" w:hAnsi="Arial" w:cs="Arial"/>
              </w:rPr>
              <w:t xml:space="preserve">providers that can accept transfer of residents in the event relocation is required. </w:t>
            </w:r>
          </w:p>
        </w:tc>
        <w:tc>
          <w:tcPr>
            <w:tcW w:w="1620" w:type="dxa"/>
          </w:tcPr>
          <w:p w14:paraId="18FE801E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685B2D2" w14:textId="77777777" w:rsidR="00341DF0" w:rsidRPr="00B431C2" w:rsidRDefault="00341DF0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4A078B" w14:paraId="76A66BA2" w14:textId="77777777" w:rsidTr="00BE7178">
        <w:tc>
          <w:tcPr>
            <w:tcW w:w="3775" w:type="dxa"/>
          </w:tcPr>
          <w:p w14:paraId="599D49B4" w14:textId="77777777" w:rsidR="004A078B" w:rsidRPr="00B431C2" w:rsidRDefault="0033100A" w:rsidP="00B5082E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Allowing HCP with COVID-19 infection who are well enough and willing to work to return to work as follows: </w:t>
            </w:r>
          </w:p>
          <w:p w14:paraId="55E093EC" w14:textId="2397A65E" w:rsidR="006D375E" w:rsidRPr="00B431C2" w:rsidRDefault="0059063D" w:rsidP="0059063D">
            <w:pPr>
              <w:pStyle w:val="ListParagraph"/>
              <w:numPr>
                <w:ilvl w:val="0"/>
                <w:numId w:val="5"/>
              </w:numPr>
              <w:ind w:left="150" w:right="-20" w:hanging="18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HCP </w:t>
            </w:r>
            <w:r w:rsidR="00487708" w:rsidRPr="00B431C2">
              <w:rPr>
                <w:rFonts w:ascii="Arial" w:hAnsi="Arial" w:cs="Arial"/>
              </w:rPr>
              <w:t xml:space="preserve">with mild to moderate illness who are not moderately to severely immunocompromised: </w:t>
            </w:r>
          </w:p>
          <w:p w14:paraId="333A99EC" w14:textId="3F8F972A" w:rsidR="00487708" w:rsidRPr="00B431C2" w:rsidRDefault="00487708" w:rsidP="00487708">
            <w:pPr>
              <w:pStyle w:val="ListParagraph"/>
              <w:numPr>
                <w:ilvl w:val="0"/>
                <w:numId w:val="6"/>
              </w:numPr>
              <w:ind w:left="520" w:right="-20" w:hanging="27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At least 3 days have passed since symptoms first appeared (day 0), and </w:t>
            </w:r>
          </w:p>
          <w:p w14:paraId="5B683481" w14:textId="53B7037F" w:rsidR="00487708" w:rsidRPr="00B431C2" w:rsidRDefault="00487708" w:rsidP="00487708">
            <w:pPr>
              <w:pStyle w:val="ListParagraph"/>
              <w:numPr>
                <w:ilvl w:val="0"/>
                <w:numId w:val="6"/>
              </w:numPr>
              <w:ind w:left="520" w:right="-20" w:hanging="27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At least 24 hours have passed since last fever without the use of fever-reducing medications, and </w:t>
            </w:r>
          </w:p>
          <w:p w14:paraId="46BC18FE" w14:textId="7E7D6B42" w:rsidR="00487708" w:rsidRPr="00B431C2" w:rsidRDefault="00487708" w:rsidP="00487708">
            <w:pPr>
              <w:pStyle w:val="ListParagraph"/>
              <w:numPr>
                <w:ilvl w:val="0"/>
                <w:numId w:val="6"/>
              </w:numPr>
              <w:ind w:left="520" w:right="-20" w:hanging="27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Symptoms </w:t>
            </w:r>
            <w:r w:rsidR="007A3F5D" w:rsidRPr="00B431C2">
              <w:rPr>
                <w:rFonts w:ascii="Arial" w:hAnsi="Arial" w:cs="Arial"/>
              </w:rPr>
              <w:t xml:space="preserve">have improved. </w:t>
            </w:r>
          </w:p>
          <w:p w14:paraId="1BE2E208" w14:textId="45844D2D" w:rsidR="00487708" w:rsidRPr="00B431C2" w:rsidRDefault="00BD3A24" w:rsidP="00BD3A2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*See guidance for prioritizing and </w:t>
            </w:r>
            <w:r w:rsidR="00376324" w:rsidRPr="00B431C2">
              <w:rPr>
                <w:rFonts w:ascii="Arial" w:hAnsi="Arial" w:cs="Arial"/>
              </w:rPr>
              <w:t xml:space="preserve">adherence to recommendations to minimize potential transmission on page 4. </w:t>
            </w:r>
          </w:p>
        </w:tc>
        <w:tc>
          <w:tcPr>
            <w:tcW w:w="1620" w:type="dxa"/>
          </w:tcPr>
          <w:p w14:paraId="6A060B78" w14:textId="77777777" w:rsidR="004A078B" w:rsidRPr="00B431C2" w:rsidRDefault="004A078B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4F2EE23" w14:textId="77777777" w:rsidR="004A078B" w:rsidRPr="00B431C2" w:rsidRDefault="004A078B" w:rsidP="00EE4E13">
            <w:pPr>
              <w:ind w:right="-1080"/>
              <w:rPr>
                <w:rFonts w:ascii="Arial" w:hAnsi="Arial" w:cs="Arial"/>
              </w:rPr>
            </w:pPr>
          </w:p>
        </w:tc>
      </w:tr>
    </w:tbl>
    <w:p w14:paraId="148A6D8F" w14:textId="21BEF6DA" w:rsidR="00A80092" w:rsidRPr="00B431C2" w:rsidRDefault="00A80092">
      <w:pPr>
        <w:rPr>
          <w:rFonts w:ascii="Arial" w:hAnsi="Arial" w:cs="Arial"/>
          <w:sz w:val="24"/>
          <w:szCs w:val="24"/>
        </w:rPr>
      </w:pPr>
    </w:p>
    <w:p w14:paraId="113350D1" w14:textId="77777777" w:rsidR="00376324" w:rsidRPr="00B431C2" w:rsidRDefault="003763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515" w:type="dxa"/>
        <w:tblInd w:w="-1080" w:type="dxa"/>
        <w:tblLook w:val="04A0" w:firstRow="1" w:lastRow="0" w:firstColumn="1" w:lastColumn="0" w:noHBand="0" w:noVBand="1"/>
      </w:tblPr>
      <w:tblGrid>
        <w:gridCol w:w="3775"/>
        <w:gridCol w:w="1620"/>
        <w:gridCol w:w="6120"/>
      </w:tblGrid>
      <w:tr w:rsidR="002D78E4" w14:paraId="161A9ADB" w14:textId="77777777" w:rsidTr="00437D05">
        <w:trPr>
          <w:trHeight w:val="350"/>
        </w:trPr>
        <w:tc>
          <w:tcPr>
            <w:tcW w:w="11515" w:type="dxa"/>
            <w:gridSpan w:val="3"/>
            <w:shd w:val="clear" w:color="auto" w:fill="739600"/>
            <w:vAlign w:val="center"/>
          </w:tcPr>
          <w:p w14:paraId="210D4B9D" w14:textId="7FC4501A" w:rsidR="002D78E4" w:rsidRPr="00B431C2" w:rsidRDefault="00116695" w:rsidP="00437D05">
            <w:pPr>
              <w:ind w:right="7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31C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Crisis Capacity Strategies</w:t>
            </w:r>
          </w:p>
        </w:tc>
      </w:tr>
      <w:tr w:rsidR="00EC7244" w:rsidRPr="002D33A8" w14:paraId="3253EC1C" w14:textId="77777777" w:rsidTr="00355A31">
        <w:tc>
          <w:tcPr>
            <w:tcW w:w="3775" w:type="dxa"/>
            <w:vAlign w:val="center"/>
          </w:tcPr>
          <w:p w14:paraId="5382003E" w14:textId="77777777" w:rsidR="00EC7244" w:rsidRPr="00B431C2" w:rsidRDefault="00EC7244" w:rsidP="00355A31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Mitigation Measure</w:t>
            </w:r>
          </w:p>
        </w:tc>
        <w:tc>
          <w:tcPr>
            <w:tcW w:w="1620" w:type="dxa"/>
            <w:vAlign w:val="center"/>
          </w:tcPr>
          <w:p w14:paraId="3D503718" w14:textId="77777777" w:rsidR="00EC7244" w:rsidRPr="00B431C2" w:rsidRDefault="00EC7244" w:rsidP="00355A31">
            <w:pPr>
              <w:ind w:right="-108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Date</w:t>
            </w:r>
          </w:p>
          <w:p w14:paraId="495E7520" w14:textId="77777777" w:rsidR="00EC7244" w:rsidRPr="00B431C2" w:rsidRDefault="00EC7244" w:rsidP="00355A31">
            <w:pPr>
              <w:ind w:right="-108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  <w:b/>
              </w:rPr>
              <w:t>Implemented</w:t>
            </w:r>
          </w:p>
        </w:tc>
        <w:tc>
          <w:tcPr>
            <w:tcW w:w="6120" w:type="dxa"/>
            <w:vAlign w:val="center"/>
          </w:tcPr>
          <w:p w14:paraId="47C02B8F" w14:textId="77777777" w:rsidR="00EC7244" w:rsidRPr="00B431C2" w:rsidRDefault="00EC7244" w:rsidP="00355A31">
            <w:pPr>
              <w:ind w:right="-110"/>
              <w:rPr>
                <w:rFonts w:ascii="Arial" w:hAnsi="Arial" w:cs="Arial"/>
                <w:b/>
              </w:rPr>
            </w:pPr>
            <w:r w:rsidRPr="00B431C2">
              <w:rPr>
                <w:rFonts w:ascii="Arial" w:hAnsi="Arial" w:cs="Arial"/>
                <w:b/>
              </w:rPr>
              <w:t>Notes</w:t>
            </w:r>
          </w:p>
        </w:tc>
      </w:tr>
      <w:tr w:rsidR="002D78E4" w14:paraId="124B96DA" w14:textId="77777777" w:rsidTr="002D78E4">
        <w:tc>
          <w:tcPr>
            <w:tcW w:w="3775" w:type="dxa"/>
          </w:tcPr>
          <w:p w14:paraId="15B38EB7" w14:textId="0AEEE043" w:rsidR="002D78E4" w:rsidRPr="00B431C2" w:rsidRDefault="00F464E1" w:rsidP="00F464E1">
            <w:pPr>
              <w:ind w:right="-11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Implement regional plans to transfer residents with COVID-19 to </w:t>
            </w:r>
            <w:r w:rsidR="008F6DC4" w:rsidRPr="00B431C2">
              <w:rPr>
                <w:rFonts w:ascii="Arial" w:hAnsi="Arial" w:cs="Arial"/>
              </w:rPr>
              <w:t xml:space="preserve">alternate care sites with adequate staffing. </w:t>
            </w:r>
          </w:p>
        </w:tc>
        <w:tc>
          <w:tcPr>
            <w:tcW w:w="1620" w:type="dxa"/>
          </w:tcPr>
          <w:p w14:paraId="2476BD14" w14:textId="77777777" w:rsidR="002D78E4" w:rsidRPr="00B431C2" w:rsidRDefault="002D78E4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A405D63" w14:textId="77777777" w:rsidR="002D78E4" w:rsidRPr="00B431C2" w:rsidRDefault="002D78E4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2D78E4" w14:paraId="495E08B9" w14:textId="77777777" w:rsidTr="002D78E4">
        <w:tc>
          <w:tcPr>
            <w:tcW w:w="3775" w:type="dxa"/>
          </w:tcPr>
          <w:p w14:paraId="1CAE45A1" w14:textId="77777777" w:rsidR="00D012CB" w:rsidRPr="00B431C2" w:rsidRDefault="001C3B5B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As a last resort, consider allowing HCP with suspected or confirmed COVID-19</w:t>
            </w:r>
            <w:r w:rsidR="00BC1961" w:rsidRPr="00B431C2">
              <w:rPr>
                <w:rFonts w:ascii="Arial" w:hAnsi="Arial" w:cs="Arial"/>
              </w:rPr>
              <w:t xml:space="preserve">, who are well enough to work, but have not met criteria </w:t>
            </w:r>
            <w:r w:rsidR="00376324" w:rsidRPr="00B431C2">
              <w:rPr>
                <w:rFonts w:ascii="Arial" w:hAnsi="Arial" w:cs="Arial"/>
              </w:rPr>
              <w:t>in the contingency strategies above</w:t>
            </w:r>
            <w:r w:rsidR="00D012CB" w:rsidRPr="00B431C2">
              <w:rPr>
                <w:rFonts w:ascii="Arial" w:hAnsi="Arial" w:cs="Arial"/>
              </w:rPr>
              <w:t xml:space="preserve">. </w:t>
            </w:r>
          </w:p>
          <w:p w14:paraId="68B1B4FA" w14:textId="1C38B4E6" w:rsidR="002D78E4" w:rsidRPr="00B431C2" w:rsidRDefault="00376324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*See guidance for prioritizing and adherence to recommendations to minimize potential transmission on page 4. </w:t>
            </w:r>
            <w:r w:rsidR="00CD7E66" w:rsidRPr="00B431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0" w:type="dxa"/>
          </w:tcPr>
          <w:p w14:paraId="0478D2B6" w14:textId="77777777" w:rsidR="002D78E4" w:rsidRPr="00B431C2" w:rsidRDefault="002D78E4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A383535" w14:textId="77777777" w:rsidR="002D78E4" w:rsidRPr="00B431C2" w:rsidRDefault="002D78E4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D5799F" w14:paraId="74725A75" w14:textId="77777777" w:rsidTr="003B0FB0">
        <w:tc>
          <w:tcPr>
            <w:tcW w:w="11515" w:type="dxa"/>
            <w:gridSpan w:val="3"/>
          </w:tcPr>
          <w:p w14:paraId="0A5B87B8" w14:textId="18137777" w:rsidR="00D5799F" w:rsidRPr="00B431C2" w:rsidRDefault="0034612C" w:rsidP="0034612C">
            <w:pPr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If HCP are requested to work before meeting all criteria, they should be restricted from contact with patients who are moderately to severely immunocompromised</w:t>
            </w:r>
            <w:r w:rsidR="00D02F8D" w:rsidRPr="00B431C2">
              <w:rPr>
                <w:rFonts w:ascii="Arial" w:hAnsi="Arial" w:cs="Arial"/>
              </w:rPr>
              <w:t xml:space="preserve"> and providers should consider prioritizing their duties in the following order:</w:t>
            </w:r>
          </w:p>
        </w:tc>
      </w:tr>
      <w:tr w:rsidR="00E45C46" w14:paraId="07C66E45" w14:textId="77777777" w:rsidTr="002D78E4">
        <w:tc>
          <w:tcPr>
            <w:tcW w:w="3775" w:type="dxa"/>
          </w:tcPr>
          <w:p w14:paraId="1AD18B1A" w14:textId="36667DDE" w:rsidR="00E45C46" w:rsidRPr="00B431C2" w:rsidRDefault="00D02F8D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If not already done, allow HCP</w:t>
            </w:r>
            <w:r w:rsidR="005F6C0F" w:rsidRPr="00B431C2">
              <w:rPr>
                <w:rFonts w:ascii="Arial" w:hAnsi="Arial" w:cs="Arial"/>
              </w:rPr>
              <w:t xml:space="preserve"> with suspected or confirmed COVID-19 infection to perform job duties where they do not interact with others. </w:t>
            </w:r>
          </w:p>
        </w:tc>
        <w:tc>
          <w:tcPr>
            <w:tcW w:w="1620" w:type="dxa"/>
          </w:tcPr>
          <w:p w14:paraId="73D2172B" w14:textId="77777777" w:rsidR="00E45C46" w:rsidRPr="00B431C2" w:rsidRDefault="00E45C46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DCFCBB3" w14:textId="77777777" w:rsidR="00E45C46" w:rsidRPr="00B431C2" w:rsidRDefault="00E45C46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434DB3" w14:paraId="7079D43A" w14:textId="77777777" w:rsidTr="002D78E4">
        <w:tc>
          <w:tcPr>
            <w:tcW w:w="3775" w:type="dxa"/>
          </w:tcPr>
          <w:p w14:paraId="330285B3" w14:textId="4D5F8347" w:rsidR="00434DB3" w:rsidRPr="00B431C2" w:rsidRDefault="005F6C0F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Allow HCP with confirmed COVID-19 infection to provide </w:t>
            </w:r>
            <w:r w:rsidR="00A94844" w:rsidRPr="00B431C2">
              <w:rPr>
                <w:rFonts w:ascii="Arial" w:hAnsi="Arial" w:cs="Arial"/>
              </w:rPr>
              <w:t xml:space="preserve">direct care only for patients with confirmed COVID-19, preferably in a cohort setting. </w:t>
            </w:r>
          </w:p>
        </w:tc>
        <w:tc>
          <w:tcPr>
            <w:tcW w:w="1620" w:type="dxa"/>
          </w:tcPr>
          <w:p w14:paraId="02CFE3CC" w14:textId="77777777" w:rsidR="00434DB3" w:rsidRPr="00B431C2" w:rsidRDefault="00434DB3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C62AC53" w14:textId="77777777" w:rsidR="00434DB3" w:rsidRPr="00B431C2" w:rsidRDefault="00434DB3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F03D08" w14:paraId="2712EAAB" w14:textId="77777777" w:rsidTr="002D78E4">
        <w:tc>
          <w:tcPr>
            <w:tcW w:w="3775" w:type="dxa"/>
          </w:tcPr>
          <w:p w14:paraId="3EAE8AD0" w14:textId="4C83ECD1" w:rsidR="00F03D08" w:rsidRPr="00B431C2" w:rsidRDefault="00A94844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 xml:space="preserve">Allow HCP with confirmed COVID-19 </w:t>
            </w:r>
            <w:r w:rsidR="005377EA" w:rsidRPr="00B431C2">
              <w:rPr>
                <w:rFonts w:ascii="Arial" w:hAnsi="Arial" w:cs="Arial"/>
              </w:rPr>
              <w:t xml:space="preserve">infection to provide direct care only for patients with suspected COVID-19 infection. </w:t>
            </w:r>
          </w:p>
        </w:tc>
        <w:tc>
          <w:tcPr>
            <w:tcW w:w="1620" w:type="dxa"/>
          </w:tcPr>
          <w:p w14:paraId="49102408" w14:textId="77777777" w:rsidR="00F03D08" w:rsidRPr="00B431C2" w:rsidRDefault="00F03D08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B4311EA" w14:textId="77777777" w:rsidR="00F03D08" w:rsidRPr="00B431C2" w:rsidRDefault="00F03D08" w:rsidP="00EE4E13">
            <w:pPr>
              <w:ind w:right="-1080"/>
              <w:rPr>
                <w:rFonts w:ascii="Arial" w:hAnsi="Arial" w:cs="Arial"/>
              </w:rPr>
            </w:pPr>
          </w:p>
        </w:tc>
      </w:tr>
      <w:tr w:rsidR="004201AB" w14:paraId="2AB2B7BA" w14:textId="77777777" w:rsidTr="002D78E4">
        <w:tc>
          <w:tcPr>
            <w:tcW w:w="3775" w:type="dxa"/>
          </w:tcPr>
          <w:p w14:paraId="5C5B9C62" w14:textId="5F3ABF8C" w:rsidR="004201AB" w:rsidRPr="00B431C2" w:rsidRDefault="005377EA" w:rsidP="008F6DC4">
            <w:pPr>
              <w:ind w:right="-20"/>
              <w:rPr>
                <w:rFonts w:ascii="Arial" w:hAnsi="Arial" w:cs="Arial"/>
              </w:rPr>
            </w:pPr>
            <w:r w:rsidRPr="00B431C2">
              <w:rPr>
                <w:rFonts w:ascii="Arial" w:hAnsi="Arial" w:cs="Arial"/>
              </w:rPr>
              <w:t>As a last resort, allow HCP with confirmed</w:t>
            </w:r>
            <w:r w:rsidR="00012803" w:rsidRPr="00B431C2">
              <w:rPr>
                <w:rFonts w:ascii="Arial" w:hAnsi="Arial" w:cs="Arial"/>
              </w:rPr>
              <w:t xml:space="preserve"> COVID-19 </w:t>
            </w:r>
            <w:r w:rsidR="0006700F" w:rsidRPr="00B431C2">
              <w:rPr>
                <w:rFonts w:ascii="Arial" w:hAnsi="Arial" w:cs="Arial"/>
              </w:rPr>
              <w:t xml:space="preserve">to provide direct care for patients without suspected or confirmed </w:t>
            </w:r>
            <w:r w:rsidR="008A657C" w:rsidRPr="00B431C2">
              <w:rPr>
                <w:rFonts w:ascii="Arial" w:hAnsi="Arial" w:cs="Arial"/>
              </w:rPr>
              <w:t>COVID-19</w:t>
            </w:r>
            <w:r w:rsidR="000445F1" w:rsidRPr="00B431C2">
              <w:rPr>
                <w:rFonts w:ascii="Arial" w:hAnsi="Arial" w:cs="Arial"/>
              </w:rPr>
              <w:t xml:space="preserve">. If this is being considered, this should be used only as a bridge to longer term strategies that do not involve care of uninfected patients by potentially infectious HCP. Strict adherence to all other recommended infection prevention and control measures is essential. </w:t>
            </w:r>
          </w:p>
        </w:tc>
        <w:tc>
          <w:tcPr>
            <w:tcW w:w="1620" w:type="dxa"/>
          </w:tcPr>
          <w:p w14:paraId="418B3AD6" w14:textId="77777777" w:rsidR="004201AB" w:rsidRPr="00B431C2" w:rsidRDefault="004201AB" w:rsidP="00EE4E13">
            <w:pPr>
              <w:ind w:right="-108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55CF86A" w14:textId="77777777" w:rsidR="004201AB" w:rsidRPr="00B431C2" w:rsidRDefault="004201AB" w:rsidP="00EE4E13">
            <w:pPr>
              <w:ind w:right="-1080"/>
              <w:rPr>
                <w:rFonts w:ascii="Arial" w:hAnsi="Arial" w:cs="Arial"/>
              </w:rPr>
            </w:pPr>
          </w:p>
        </w:tc>
      </w:tr>
    </w:tbl>
    <w:p w14:paraId="689FFC04" w14:textId="17A57129" w:rsidR="002D78E4" w:rsidRPr="00B431C2" w:rsidRDefault="002D78E4" w:rsidP="00EE4E13">
      <w:pPr>
        <w:ind w:left="-1080" w:right="-1080"/>
        <w:rPr>
          <w:rFonts w:ascii="Arial" w:hAnsi="Arial" w:cs="Arial"/>
          <w:b/>
        </w:rPr>
      </w:pPr>
    </w:p>
    <w:p w14:paraId="40F2FB2D" w14:textId="77777777" w:rsidR="009337E0" w:rsidRPr="00B431C2" w:rsidRDefault="009337E0">
      <w:pPr>
        <w:rPr>
          <w:rFonts w:ascii="Arial" w:hAnsi="Arial" w:cs="Arial"/>
          <w:b/>
        </w:rPr>
      </w:pPr>
      <w:r w:rsidRPr="00B431C2">
        <w:rPr>
          <w:rFonts w:ascii="Arial" w:hAnsi="Arial" w:cs="Arial"/>
          <w:b/>
        </w:rPr>
        <w:br w:type="page"/>
      </w:r>
    </w:p>
    <w:p w14:paraId="0EB97BDD" w14:textId="33FFBDC6" w:rsidR="00CD7E66" w:rsidRPr="00B431C2" w:rsidRDefault="00CD7E66" w:rsidP="00EE4E13">
      <w:pPr>
        <w:ind w:left="-1080" w:right="-1080"/>
        <w:rPr>
          <w:rFonts w:ascii="Arial" w:hAnsi="Arial" w:cs="Arial"/>
          <w:b/>
          <w:sz w:val="24"/>
          <w:szCs w:val="24"/>
        </w:rPr>
      </w:pPr>
      <w:r w:rsidRPr="00B431C2">
        <w:rPr>
          <w:rFonts w:ascii="Arial" w:hAnsi="Arial" w:cs="Arial"/>
          <w:b/>
          <w:sz w:val="24"/>
          <w:szCs w:val="24"/>
        </w:rPr>
        <w:lastRenderedPageBreak/>
        <w:t xml:space="preserve">Considerations for determining which HCP could be allowed to return to work early: </w:t>
      </w:r>
    </w:p>
    <w:p w14:paraId="7520368F" w14:textId="6C294C91" w:rsidR="00CD7E66" w:rsidRPr="00B431C2" w:rsidRDefault="002A626B" w:rsidP="00CD7E66">
      <w:pPr>
        <w:pStyle w:val="ListParagraph"/>
        <w:numPr>
          <w:ilvl w:val="0"/>
          <w:numId w:val="1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Determine the type of HCP shortages that need to be addressed (</w:t>
      </w:r>
      <w:proofErr w:type="gramStart"/>
      <w:r w:rsidRPr="00B431C2">
        <w:rPr>
          <w:rFonts w:ascii="Arial" w:hAnsi="Arial" w:cs="Arial"/>
        </w:rPr>
        <w:t>i.e.</w:t>
      </w:r>
      <w:proofErr w:type="gramEnd"/>
      <w:r w:rsidRPr="00B431C2">
        <w:rPr>
          <w:rFonts w:ascii="Arial" w:hAnsi="Arial" w:cs="Arial"/>
        </w:rPr>
        <w:t xml:space="preserve"> department). </w:t>
      </w:r>
    </w:p>
    <w:p w14:paraId="076B4CD7" w14:textId="2F51B8D5" w:rsidR="002A626B" w:rsidRPr="00B431C2" w:rsidRDefault="002A626B" w:rsidP="00CD7E66">
      <w:pPr>
        <w:pStyle w:val="ListParagraph"/>
        <w:numPr>
          <w:ilvl w:val="0"/>
          <w:numId w:val="1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Determine where the HCP are in the course of their illness.  Viral shedding appears to be higher earlier in the course of illness</w:t>
      </w:r>
      <w:r w:rsidR="00DA1C00" w:rsidRPr="00B431C2">
        <w:rPr>
          <w:rFonts w:ascii="Arial" w:hAnsi="Arial" w:cs="Arial"/>
        </w:rPr>
        <w:t xml:space="preserve">, so those HCP who are farther along in their illness should be considered first. </w:t>
      </w:r>
    </w:p>
    <w:p w14:paraId="6CB44EB3" w14:textId="583E2C23" w:rsidR="00C13683" w:rsidRPr="00B431C2" w:rsidRDefault="00DA1C00" w:rsidP="00CD7E66">
      <w:pPr>
        <w:pStyle w:val="ListParagraph"/>
        <w:numPr>
          <w:ilvl w:val="0"/>
          <w:numId w:val="1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Determine the types of symptoms the HCP is </w:t>
      </w:r>
      <w:r w:rsidR="00C13683" w:rsidRPr="00B431C2">
        <w:rPr>
          <w:rFonts w:ascii="Arial" w:hAnsi="Arial" w:cs="Arial"/>
        </w:rPr>
        <w:t>experiencing,</w:t>
      </w:r>
      <w:r w:rsidRPr="00B431C2">
        <w:rPr>
          <w:rFonts w:ascii="Arial" w:hAnsi="Arial" w:cs="Arial"/>
        </w:rPr>
        <w:t xml:space="preserve"> and triage based on symptoms and severity.  For </w:t>
      </w:r>
      <w:r w:rsidR="008A3A88" w:rsidRPr="00B431C2">
        <w:rPr>
          <w:rFonts w:ascii="Arial" w:hAnsi="Arial" w:cs="Arial"/>
        </w:rPr>
        <w:t>example,</w:t>
      </w:r>
      <w:r w:rsidRPr="00B431C2">
        <w:rPr>
          <w:rFonts w:ascii="Arial" w:hAnsi="Arial" w:cs="Arial"/>
        </w:rPr>
        <w:t xml:space="preserve"> </w:t>
      </w:r>
      <w:proofErr w:type="gramStart"/>
      <w:r w:rsidRPr="00B431C2">
        <w:rPr>
          <w:rFonts w:ascii="Arial" w:hAnsi="Arial" w:cs="Arial"/>
        </w:rPr>
        <w:t>a</w:t>
      </w:r>
      <w:proofErr w:type="gramEnd"/>
      <w:r w:rsidRPr="00B431C2">
        <w:rPr>
          <w:rFonts w:ascii="Arial" w:hAnsi="Arial" w:cs="Arial"/>
        </w:rPr>
        <w:t xml:space="preserve"> HCP </w:t>
      </w:r>
      <w:r w:rsidR="00C13683" w:rsidRPr="00B431C2">
        <w:rPr>
          <w:rFonts w:ascii="Arial" w:hAnsi="Arial" w:cs="Arial"/>
        </w:rPr>
        <w:t>that continues to have a fever should not be considered.</w:t>
      </w:r>
    </w:p>
    <w:p w14:paraId="2F3E6EE2" w14:textId="77777777" w:rsidR="00611882" w:rsidRPr="00B431C2" w:rsidRDefault="00C13683" w:rsidP="00CD7E66">
      <w:pPr>
        <w:pStyle w:val="ListParagraph"/>
        <w:numPr>
          <w:ilvl w:val="0"/>
          <w:numId w:val="1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Determine the degree of interaction with residents and other HCP</w:t>
      </w:r>
      <w:r w:rsidR="00611882" w:rsidRPr="00B431C2">
        <w:rPr>
          <w:rFonts w:ascii="Arial" w:hAnsi="Arial" w:cs="Arial"/>
        </w:rPr>
        <w:t xml:space="preserve">. </w:t>
      </w:r>
    </w:p>
    <w:p w14:paraId="2DC96480" w14:textId="77777777" w:rsidR="00611882" w:rsidRPr="00B431C2" w:rsidRDefault="00611882" w:rsidP="00611882">
      <w:pPr>
        <w:pStyle w:val="ListParagraph"/>
        <w:numPr>
          <w:ilvl w:val="0"/>
          <w:numId w:val="1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Determine the type of residents the HCP will be caring for. </w:t>
      </w:r>
    </w:p>
    <w:p w14:paraId="4AED0ED9" w14:textId="053E6891" w:rsidR="00475114" w:rsidRPr="00B431C2" w:rsidRDefault="00475114" w:rsidP="00475114">
      <w:pPr>
        <w:ind w:left="-1080" w:right="-1080"/>
        <w:rPr>
          <w:rFonts w:ascii="Arial" w:hAnsi="Arial" w:cs="Arial"/>
          <w:sz w:val="24"/>
          <w:szCs w:val="24"/>
        </w:rPr>
      </w:pPr>
      <w:r w:rsidRPr="00B431C2">
        <w:rPr>
          <w:rFonts w:ascii="Arial" w:hAnsi="Arial" w:cs="Arial"/>
          <w:b/>
          <w:sz w:val="24"/>
          <w:szCs w:val="24"/>
        </w:rPr>
        <w:t xml:space="preserve">If </w:t>
      </w:r>
      <w:r w:rsidR="00655E03" w:rsidRPr="00B431C2">
        <w:rPr>
          <w:rFonts w:ascii="Arial" w:hAnsi="Arial" w:cs="Arial"/>
          <w:b/>
          <w:sz w:val="24"/>
          <w:szCs w:val="24"/>
        </w:rPr>
        <w:t>an</w:t>
      </w:r>
      <w:r w:rsidRPr="00B431C2">
        <w:rPr>
          <w:rFonts w:ascii="Arial" w:hAnsi="Arial" w:cs="Arial"/>
          <w:b/>
          <w:sz w:val="24"/>
          <w:szCs w:val="24"/>
        </w:rPr>
        <w:t xml:space="preserve"> HCP is returning to work </w:t>
      </w:r>
      <w:r w:rsidR="00655E03" w:rsidRPr="00B431C2">
        <w:rPr>
          <w:rFonts w:ascii="Arial" w:hAnsi="Arial" w:cs="Arial"/>
          <w:b/>
          <w:sz w:val="24"/>
          <w:szCs w:val="24"/>
        </w:rPr>
        <w:t>early,</w:t>
      </w:r>
      <w:r w:rsidRPr="00B431C2">
        <w:rPr>
          <w:rFonts w:ascii="Arial" w:hAnsi="Arial" w:cs="Arial"/>
          <w:b/>
          <w:sz w:val="24"/>
          <w:szCs w:val="24"/>
        </w:rPr>
        <w:t xml:space="preserve"> they must</w:t>
      </w:r>
      <w:r w:rsidRPr="00B431C2">
        <w:rPr>
          <w:rFonts w:ascii="Arial" w:hAnsi="Arial" w:cs="Arial"/>
          <w:sz w:val="24"/>
          <w:szCs w:val="24"/>
        </w:rPr>
        <w:t xml:space="preserve">: </w:t>
      </w:r>
    </w:p>
    <w:p w14:paraId="5FE69975" w14:textId="5609F37C" w:rsidR="00475114" w:rsidRPr="00B431C2" w:rsidRDefault="00947366" w:rsidP="00AE2000">
      <w:pPr>
        <w:pStyle w:val="ListParagraph"/>
        <w:numPr>
          <w:ilvl w:val="0"/>
          <w:numId w:val="4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Wear a </w:t>
      </w:r>
      <w:r w:rsidR="00DA17B3" w:rsidRPr="00B431C2">
        <w:rPr>
          <w:rFonts w:ascii="Arial" w:hAnsi="Arial" w:cs="Arial"/>
        </w:rPr>
        <w:t xml:space="preserve">respirator or </w:t>
      </w:r>
      <w:r w:rsidRPr="00B431C2">
        <w:rPr>
          <w:rFonts w:ascii="Arial" w:hAnsi="Arial" w:cs="Arial"/>
        </w:rPr>
        <w:t xml:space="preserve">well-fitting facemask even when in non-resident care areas such as a breakroom. </w:t>
      </w:r>
    </w:p>
    <w:p w14:paraId="23FFDCE5" w14:textId="5C54D6BF" w:rsidR="00947366" w:rsidRPr="00B431C2" w:rsidRDefault="00947366" w:rsidP="00AE2000">
      <w:pPr>
        <w:pStyle w:val="ListParagraph"/>
        <w:numPr>
          <w:ilvl w:val="0"/>
          <w:numId w:val="4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Physically distance </w:t>
      </w:r>
      <w:proofErr w:type="gramStart"/>
      <w:r w:rsidRPr="00B431C2">
        <w:rPr>
          <w:rFonts w:ascii="Arial" w:hAnsi="Arial" w:cs="Arial"/>
        </w:rPr>
        <w:t xml:space="preserve">from </w:t>
      </w:r>
      <w:r w:rsidR="00165567" w:rsidRPr="00B431C2">
        <w:rPr>
          <w:rFonts w:ascii="Arial" w:hAnsi="Arial" w:cs="Arial"/>
        </w:rPr>
        <w:t>others,</w:t>
      </w:r>
      <w:proofErr w:type="gramEnd"/>
      <w:r w:rsidR="00165567" w:rsidRPr="00B431C2">
        <w:rPr>
          <w:rFonts w:ascii="Arial" w:hAnsi="Arial" w:cs="Arial"/>
        </w:rPr>
        <w:t xml:space="preserve"> to the extent possible</w:t>
      </w:r>
      <w:r w:rsidRPr="00B431C2">
        <w:rPr>
          <w:rFonts w:ascii="Arial" w:hAnsi="Arial" w:cs="Arial"/>
        </w:rPr>
        <w:t xml:space="preserve">. </w:t>
      </w:r>
    </w:p>
    <w:p w14:paraId="5E7E08BC" w14:textId="794D2281" w:rsidR="00554BF6" w:rsidRPr="00B431C2" w:rsidRDefault="00554BF6" w:rsidP="00AE2000">
      <w:pPr>
        <w:pStyle w:val="ListParagraph"/>
        <w:numPr>
          <w:ilvl w:val="0"/>
          <w:numId w:val="4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 xml:space="preserve">If they must remove their source control, they should separate themselves from others. </w:t>
      </w:r>
    </w:p>
    <w:p w14:paraId="1F31B97C" w14:textId="648387E2" w:rsidR="00554BF6" w:rsidRPr="00B431C2" w:rsidRDefault="00554BF6" w:rsidP="00AE2000">
      <w:pPr>
        <w:pStyle w:val="ListParagraph"/>
        <w:numPr>
          <w:ilvl w:val="0"/>
          <w:numId w:val="4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Continue to self-monitor symptoms and report worsening of symptoms immediately.</w:t>
      </w:r>
    </w:p>
    <w:p w14:paraId="6AFBA625" w14:textId="451DACF4" w:rsidR="00165567" w:rsidRPr="00B431C2" w:rsidRDefault="00165567" w:rsidP="00AE2000">
      <w:pPr>
        <w:pStyle w:val="ListParagraph"/>
        <w:numPr>
          <w:ilvl w:val="0"/>
          <w:numId w:val="4"/>
        </w:numPr>
        <w:ind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Patients</w:t>
      </w:r>
      <w:r w:rsidR="00955D16" w:rsidRPr="00B431C2">
        <w:rPr>
          <w:rFonts w:ascii="Arial" w:hAnsi="Arial" w:cs="Arial"/>
        </w:rPr>
        <w:t xml:space="preserve"> (if tolerated)</w:t>
      </w:r>
      <w:r w:rsidRPr="00B431C2">
        <w:rPr>
          <w:rFonts w:ascii="Arial" w:hAnsi="Arial" w:cs="Arial"/>
        </w:rPr>
        <w:t xml:space="preserve"> are encouraged to utilize</w:t>
      </w:r>
      <w:r w:rsidR="00955D16" w:rsidRPr="00B431C2">
        <w:rPr>
          <w:rFonts w:ascii="Arial" w:hAnsi="Arial" w:cs="Arial"/>
        </w:rPr>
        <w:t xml:space="preserve"> well-fitting source control while interacting with these HCP. </w:t>
      </w:r>
    </w:p>
    <w:p w14:paraId="2500C2F1" w14:textId="6762531F" w:rsidR="00CD7E05" w:rsidRPr="00B431C2" w:rsidRDefault="00CD7E05" w:rsidP="00CD7E05">
      <w:pPr>
        <w:ind w:left="-1080" w:right="-1080"/>
        <w:rPr>
          <w:rFonts w:ascii="Arial" w:hAnsi="Arial" w:cs="Arial"/>
          <w:sz w:val="24"/>
          <w:szCs w:val="24"/>
        </w:rPr>
      </w:pPr>
    </w:p>
    <w:p w14:paraId="421BCD4A" w14:textId="6357BC5B" w:rsidR="00CD7E05" w:rsidRPr="00B431C2" w:rsidRDefault="00CD7E05" w:rsidP="00CD7E05">
      <w:pPr>
        <w:ind w:left="-1080" w:right="-1080"/>
        <w:rPr>
          <w:rFonts w:ascii="Arial" w:hAnsi="Arial" w:cs="Arial"/>
          <w:sz w:val="24"/>
          <w:szCs w:val="24"/>
        </w:rPr>
      </w:pPr>
      <w:r w:rsidRPr="00B431C2">
        <w:rPr>
          <w:rFonts w:ascii="Arial" w:hAnsi="Arial" w:cs="Arial"/>
          <w:sz w:val="24"/>
          <w:szCs w:val="24"/>
        </w:rPr>
        <w:t xml:space="preserve">Resources: </w:t>
      </w:r>
    </w:p>
    <w:p w14:paraId="37E1EA77" w14:textId="1E6989CA" w:rsidR="00CD7E05" w:rsidRPr="00B431C2" w:rsidRDefault="00A750B9" w:rsidP="00CD7E05">
      <w:pPr>
        <w:ind w:left="-1080" w:right="-1080"/>
        <w:rPr>
          <w:rFonts w:ascii="Arial" w:hAnsi="Arial" w:cs="Arial"/>
        </w:rPr>
      </w:pPr>
      <w:r w:rsidRPr="00B431C2">
        <w:rPr>
          <w:rFonts w:ascii="Arial" w:hAnsi="Arial" w:cs="Arial"/>
        </w:rPr>
        <w:t>CDC. (</w:t>
      </w:r>
      <w:r w:rsidR="00752ADE" w:rsidRPr="00B431C2">
        <w:rPr>
          <w:rFonts w:ascii="Arial" w:hAnsi="Arial" w:cs="Arial"/>
        </w:rPr>
        <w:t>202</w:t>
      </w:r>
      <w:r w:rsidR="00E077E3" w:rsidRPr="00B431C2">
        <w:rPr>
          <w:rFonts w:ascii="Arial" w:hAnsi="Arial" w:cs="Arial"/>
        </w:rPr>
        <w:t>2</w:t>
      </w:r>
      <w:r w:rsidR="00636E81" w:rsidRPr="00B431C2">
        <w:rPr>
          <w:rFonts w:ascii="Arial" w:hAnsi="Arial" w:cs="Arial"/>
        </w:rPr>
        <w:t>,</w:t>
      </w:r>
      <w:r w:rsidR="00752ADE" w:rsidRPr="00B431C2">
        <w:rPr>
          <w:rFonts w:ascii="Arial" w:hAnsi="Arial" w:cs="Arial"/>
        </w:rPr>
        <w:t xml:space="preserve"> </w:t>
      </w:r>
      <w:r w:rsidR="00E077E3" w:rsidRPr="00B431C2">
        <w:rPr>
          <w:rFonts w:ascii="Arial" w:hAnsi="Arial" w:cs="Arial"/>
        </w:rPr>
        <w:t>Sept. 23</w:t>
      </w:r>
      <w:r w:rsidR="00752ADE" w:rsidRPr="00B431C2">
        <w:rPr>
          <w:rFonts w:ascii="Arial" w:hAnsi="Arial" w:cs="Arial"/>
        </w:rPr>
        <w:t xml:space="preserve">). </w:t>
      </w:r>
      <w:r w:rsidR="00752ADE" w:rsidRPr="00B431C2">
        <w:rPr>
          <w:rFonts w:ascii="Arial" w:hAnsi="Arial" w:cs="Arial"/>
          <w:i/>
        </w:rPr>
        <w:t>Strategies to Mitigate Healthcare Personnel Staffing Shortages.</w:t>
      </w:r>
      <w:r w:rsidR="00752ADE" w:rsidRPr="00B431C2">
        <w:rPr>
          <w:rFonts w:ascii="Arial" w:hAnsi="Arial" w:cs="Arial"/>
        </w:rPr>
        <w:t xml:space="preserve"> </w:t>
      </w:r>
      <w:hyperlink r:id="rId10" w:history="1">
        <w:r w:rsidR="00636E81" w:rsidRPr="00B431C2">
          <w:rPr>
            <w:rStyle w:val="Hyperlink"/>
            <w:rFonts w:ascii="Arial" w:hAnsi="Arial" w:cs="Arial"/>
          </w:rPr>
          <w:t>https://www.cdc.gov/coronavirus/2019-ncov/hcp/mitigating-staff-shortages.html</w:t>
        </w:r>
      </w:hyperlink>
      <w:r w:rsidR="00636E81" w:rsidRPr="00B431C2">
        <w:rPr>
          <w:rFonts w:ascii="Arial" w:hAnsi="Arial" w:cs="Arial"/>
        </w:rPr>
        <w:t xml:space="preserve">. </w:t>
      </w:r>
    </w:p>
    <w:p w14:paraId="512FC496" w14:textId="77777777" w:rsidR="00A64C2D" w:rsidRPr="00B431C2" w:rsidRDefault="00A64C2D" w:rsidP="00EE4E13">
      <w:pPr>
        <w:ind w:left="-1080" w:right="-1080"/>
        <w:rPr>
          <w:rFonts w:ascii="Arial" w:hAnsi="Arial" w:cs="Arial"/>
          <w:sz w:val="24"/>
          <w:szCs w:val="24"/>
        </w:rPr>
      </w:pPr>
    </w:p>
    <w:p w14:paraId="10D2A3FC" w14:textId="77777777" w:rsidR="00EE4E13" w:rsidRPr="00EE4E13" w:rsidRDefault="00EE4E13" w:rsidP="000F4FBE">
      <w:pPr>
        <w:rPr>
          <w:rFonts w:ascii="Microsoft Sans Serif" w:hAnsi="Microsoft Sans Serif" w:cs="Microsoft Sans Serif"/>
          <w:sz w:val="28"/>
          <w:szCs w:val="28"/>
        </w:rPr>
      </w:pPr>
    </w:p>
    <w:sectPr w:rsidR="00EE4E13" w:rsidRPr="00EE4E13" w:rsidSect="00D5772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789A" w14:textId="77777777" w:rsidR="00275684" w:rsidRDefault="00275684" w:rsidP="00D57723">
      <w:pPr>
        <w:spacing w:after="0" w:line="240" w:lineRule="auto"/>
      </w:pPr>
      <w:r>
        <w:separator/>
      </w:r>
    </w:p>
  </w:endnote>
  <w:endnote w:type="continuationSeparator" w:id="0">
    <w:p w14:paraId="49F06F28" w14:textId="77777777" w:rsidR="00275684" w:rsidRDefault="00275684" w:rsidP="00D57723">
      <w:pPr>
        <w:spacing w:after="0" w:line="240" w:lineRule="auto"/>
      </w:pPr>
      <w:r>
        <w:continuationSeparator/>
      </w:r>
    </w:p>
  </w:endnote>
  <w:endnote w:type="continuationNotice" w:id="1">
    <w:p w14:paraId="1FA93712" w14:textId="77777777" w:rsidR="00275684" w:rsidRDefault="00275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30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FCA09" w14:textId="27B9B7C4" w:rsidR="00B431C2" w:rsidRDefault="00B431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8CE97" w14:textId="77777777" w:rsidR="00C60AC9" w:rsidRDefault="00C60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21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EF511" w14:textId="6A4F4A3D" w:rsidR="00B431C2" w:rsidRDefault="00B431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48105" w14:textId="77777777" w:rsidR="00C60AC9" w:rsidRDefault="00C60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5A13" w14:textId="77777777" w:rsidR="00275684" w:rsidRDefault="00275684" w:rsidP="00D57723">
      <w:pPr>
        <w:spacing w:after="0" w:line="240" w:lineRule="auto"/>
      </w:pPr>
      <w:r>
        <w:separator/>
      </w:r>
    </w:p>
  </w:footnote>
  <w:footnote w:type="continuationSeparator" w:id="0">
    <w:p w14:paraId="07A94CAF" w14:textId="77777777" w:rsidR="00275684" w:rsidRDefault="00275684" w:rsidP="00D57723">
      <w:pPr>
        <w:spacing w:after="0" w:line="240" w:lineRule="auto"/>
      </w:pPr>
      <w:r>
        <w:continuationSeparator/>
      </w:r>
    </w:p>
  </w:footnote>
  <w:footnote w:type="continuationNotice" w:id="1">
    <w:p w14:paraId="731098E9" w14:textId="77777777" w:rsidR="00275684" w:rsidRDefault="00275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0407" w14:textId="36500760" w:rsidR="00D57723" w:rsidRDefault="00D577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D2978" wp14:editId="38D6639E">
          <wp:simplePos x="0" y="0"/>
          <wp:positionH relativeFrom="column">
            <wp:posOffset>-666750</wp:posOffset>
          </wp:positionH>
          <wp:positionV relativeFrom="paragraph">
            <wp:posOffset>-152400</wp:posOffset>
          </wp:positionV>
          <wp:extent cx="1619250" cy="665346"/>
          <wp:effectExtent l="0" t="0" r="0" b="190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6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219"/>
    <w:multiLevelType w:val="hybridMultilevel"/>
    <w:tmpl w:val="8F0E864A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C992DDF"/>
    <w:multiLevelType w:val="hybridMultilevel"/>
    <w:tmpl w:val="0E9A8DA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C30DC8"/>
    <w:multiLevelType w:val="hybridMultilevel"/>
    <w:tmpl w:val="BAA0060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4842E93"/>
    <w:multiLevelType w:val="hybridMultilevel"/>
    <w:tmpl w:val="D946128A"/>
    <w:lvl w:ilvl="0" w:tplc="0409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C5A3F55"/>
    <w:multiLevelType w:val="hybridMultilevel"/>
    <w:tmpl w:val="CD5E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372"/>
    <w:multiLevelType w:val="hybridMultilevel"/>
    <w:tmpl w:val="379E369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39563489">
    <w:abstractNumId w:val="5"/>
  </w:num>
  <w:num w:numId="2" w16cid:durableId="322854661">
    <w:abstractNumId w:val="2"/>
  </w:num>
  <w:num w:numId="3" w16cid:durableId="430276363">
    <w:abstractNumId w:val="1"/>
  </w:num>
  <w:num w:numId="4" w16cid:durableId="1574582874">
    <w:abstractNumId w:val="3"/>
  </w:num>
  <w:num w:numId="5" w16cid:durableId="1376812029">
    <w:abstractNumId w:val="4"/>
  </w:num>
  <w:num w:numId="6" w16cid:durableId="1361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7"/>
    <w:rsid w:val="000073D2"/>
    <w:rsid w:val="00012803"/>
    <w:rsid w:val="000445F1"/>
    <w:rsid w:val="00046EB0"/>
    <w:rsid w:val="0006700F"/>
    <w:rsid w:val="00067BC0"/>
    <w:rsid w:val="0009239C"/>
    <w:rsid w:val="000A49A6"/>
    <w:rsid w:val="000E65A3"/>
    <w:rsid w:val="000E67E5"/>
    <w:rsid w:val="000F4FBE"/>
    <w:rsid w:val="000F6F37"/>
    <w:rsid w:val="0010075A"/>
    <w:rsid w:val="00102179"/>
    <w:rsid w:val="00113833"/>
    <w:rsid w:val="00116695"/>
    <w:rsid w:val="001326E0"/>
    <w:rsid w:val="00165567"/>
    <w:rsid w:val="001B1B80"/>
    <w:rsid w:val="001B3DE1"/>
    <w:rsid w:val="001C3B5B"/>
    <w:rsid w:val="00210DD3"/>
    <w:rsid w:val="00231BE8"/>
    <w:rsid w:val="002334F1"/>
    <w:rsid w:val="00241515"/>
    <w:rsid w:val="0025195E"/>
    <w:rsid w:val="00255F69"/>
    <w:rsid w:val="002626E4"/>
    <w:rsid w:val="002629C8"/>
    <w:rsid w:val="00275684"/>
    <w:rsid w:val="002A626B"/>
    <w:rsid w:val="002C7C64"/>
    <w:rsid w:val="002D1AA0"/>
    <w:rsid w:val="002D33A8"/>
    <w:rsid w:val="002D78E4"/>
    <w:rsid w:val="002E4C91"/>
    <w:rsid w:val="002F2DAE"/>
    <w:rsid w:val="0033100A"/>
    <w:rsid w:val="00332FD9"/>
    <w:rsid w:val="0033345B"/>
    <w:rsid w:val="00341DF0"/>
    <w:rsid w:val="0034612C"/>
    <w:rsid w:val="00354BC2"/>
    <w:rsid w:val="00355A31"/>
    <w:rsid w:val="00376324"/>
    <w:rsid w:val="003860EE"/>
    <w:rsid w:val="003C49D0"/>
    <w:rsid w:val="003F70F0"/>
    <w:rsid w:val="004048B1"/>
    <w:rsid w:val="004201AB"/>
    <w:rsid w:val="00426780"/>
    <w:rsid w:val="0042700C"/>
    <w:rsid w:val="00434DB3"/>
    <w:rsid w:val="00437D05"/>
    <w:rsid w:val="00446D14"/>
    <w:rsid w:val="00475114"/>
    <w:rsid w:val="00487708"/>
    <w:rsid w:val="004A078B"/>
    <w:rsid w:val="004D5C26"/>
    <w:rsid w:val="004F211B"/>
    <w:rsid w:val="005377EA"/>
    <w:rsid w:val="00554BF6"/>
    <w:rsid w:val="0059063D"/>
    <w:rsid w:val="005A6207"/>
    <w:rsid w:val="005B3BD1"/>
    <w:rsid w:val="005F5670"/>
    <w:rsid w:val="005F6C0F"/>
    <w:rsid w:val="00611882"/>
    <w:rsid w:val="00636E81"/>
    <w:rsid w:val="00655E03"/>
    <w:rsid w:val="006B100C"/>
    <w:rsid w:val="006D375E"/>
    <w:rsid w:val="00700FA8"/>
    <w:rsid w:val="00701B8C"/>
    <w:rsid w:val="00752ADE"/>
    <w:rsid w:val="00762C1F"/>
    <w:rsid w:val="007728F2"/>
    <w:rsid w:val="007A3F5D"/>
    <w:rsid w:val="007A6C01"/>
    <w:rsid w:val="007B3954"/>
    <w:rsid w:val="007C7533"/>
    <w:rsid w:val="007E5CCE"/>
    <w:rsid w:val="007F7DA7"/>
    <w:rsid w:val="00822FBD"/>
    <w:rsid w:val="00845F37"/>
    <w:rsid w:val="008859B4"/>
    <w:rsid w:val="008A3A88"/>
    <w:rsid w:val="008A657C"/>
    <w:rsid w:val="008C4D04"/>
    <w:rsid w:val="008F6DC4"/>
    <w:rsid w:val="009144CB"/>
    <w:rsid w:val="00914E03"/>
    <w:rsid w:val="00926B9F"/>
    <w:rsid w:val="009337E0"/>
    <w:rsid w:val="0093584B"/>
    <w:rsid w:val="00947366"/>
    <w:rsid w:val="00955D16"/>
    <w:rsid w:val="00966E11"/>
    <w:rsid w:val="009805FE"/>
    <w:rsid w:val="009E3E47"/>
    <w:rsid w:val="00A229EC"/>
    <w:rsid w:val="00A47F8F"/>
    <w:rsid w:val="00A637CD"/>
    <w:rsid w:val="00A64C2D"/>
    <w:rsid w:val="00A750B9"/>
    <w:rsid w:val="00A80092"/>
    <w:rsid w:val="00A806C6"/>
    <w:rsid w:val="00A84858"/>
    <w:rsid w:val="00A94844"/>
    <w:rsid w:val="00AB633C"/>
    <w:rsid w:val="00AC2D4F"/>
    <w:rsid w:val="00AC56AC"/>
    <w:rsid w:val="00AE2000"/>
    <w:rsid w:val="00B118D3"/>
    <w:rsid w:val="00B431C2"/>
    <w:rsid w:val="00B43EBD"/>
    <w:rsid w:val="00B5082E"/>
    <w:rsid w:val="00B601DE"/>
    <w:rsid w:val="00B8411F"/>
    <w:rsid w:val="00BA068B"/>
    <w:rsid w:val="00BB6E5F"/>
    <w:rsid w:val="00BC1961"/>
    <w:rsid w:val="00BD3A24"/>
    <w:rsid w:val="00BE11BD"/>
    <w:rsid w:val="00BE7178"/>
    <w:rsid w:val="00C13683"/>
    <w:rsid w:val="00C2505E"/>
    <w:rsid w:val="00C60AC9"/>
    <w:rsid w:val="00C90D4A"/>
    <w:rsid w:val="00C961D8"/>
    <w:rsid w:val="00CC54A7"/>
    <w:rsid w:val="00CD7E05"/>
    <w:rsid w:val="00CD7E66"/>
    <w:rsid w:val="00CF17B2"/>
    <w:rsid w:val="00D012CB"/>
    <w:rsid w:val="00D02F8D"/>
    <w:rsid w:val="00D03737"/>
    <w:rsid w:val="00D03A8E"/>
    <w:rsid w:val="00D23A2F"/>
    <w:rsid w:val="00D57723"/>
    <w:rsid w:val="00D5799F"/>
    <w:rsid w:val="00D927F7"/>
    <w:rsid w:val="00DA17B3"/>
    <w:rsid w:val="00DA1C00"/>
    <w:rsid w:val="00DB2F2C"/>
    <w:rsid w:val="00DC5668"/>
    <w:rsid w:val="00E077E3"/>
    <w:rsid w:val="00E169BD"/>
    <w:rsid w:val="00E23947"/>
    <w:rsid w:val="00E31CC1"/>
    <w:rsid w:val="00E45C46"/>
    <w:rsid w:val="00E7190A"/>
    <w:rsid w:val="00E77FBB"/>
    <w:rsid w:val="00E83473"/>
    <w:rsid w:val="00EA4419"/>
    <w:rsid w:val="00EC7244"/>
    <w:rsid w:val="00EE4E13"/>
    <w:rsid w:val="00F03D08"/>
    <w:rsid w:val="00F14CEA"/>
    <w:rsid w:val="00F2149B"/>
    <w:rsid w:val="00F464E1"/>
    <w:rsid w:val="00F61432"/>
    <w:rsid w:val="00F635A4"/>
    <w:rsid w:val="00F71564"/>
    <w:rsid w:val="00F71C5F"/>
    <w:rsid w:val="00F73957"/>
    <w:rsid w:val="00FC6809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5AA56"/>
  <w15:chartTrackingRefBased/>
  <w15:docId w15:val="{93752E96-A70F-48D0-A871-FC6A7518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E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723"/>
  </w:style>
  <w:style w:type="paragraph" w:styleId="Footer">
    <w:name w:val="footer"/>
    <w:basedOn w:val="Normal"/>
    <w:link w:val="FooterChar"/>
    <w:uiPriority w:val="99"/>
    <w:unhideWhenUsed/>
    <w:rsid w:val="00D5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723"/>
  </w:style>
  <w:style w:type="character" w:styleId="CommentReference">
    <w:name w:val="annotation reference"/>
    <w:basedOn w:val="DefaultParagraphFont"/>
    <w:uiPriority w:val="99"/>
    <w:semiHidden/>
    <w:unhideWhenUsed/>
    <w:rsid w:val="00426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6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hcp/mitigating-staff-shortag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9" ma:contentTypeDescription="Create a new document." ma:contentTypeScope="" ma:versionID="7eecadfb81f1cba880710ca9f5da3139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824c3cbf81c95d340e05f5f1c424ef5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  <SharedWithUsers xmlns="cc22d5d7-55eb-4b11-a5a2-8323aab795f9">
      <UserInfo>
        <DisplayName>Shannon Strickler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64CCC5-F86B-41A6-B98F-6C96DC0CA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A23DE-ECFF-4B9C-B7BF-91D488F6E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C1D92-37AC-4DFC-932D-B9D15D43196C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Links>
    <vt:vector size="12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https://www.cdc.gov/coronavirus/2019-ncov/hcp/guidance-risk-assesment-hcp.html?CDC_AA_refVal=https%3A%2F%2Fwww.cdc.gov%2Fcoronavirus%2F2019-ncov%2Fhcp%2Freturn-to-work.html</vt:lpwstr>
      </vt:variant>
      <vt:variant>
        <vt:lpwstr/>
      </vt:variant>
      <vt:variant>
        <vt:i4>1638472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https://www.cdc.gov/coronavirus/2019-ncov/hcp/mitigating-staff-shortages.html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2022-09-27T18:20:00Z</dcterms:created>
  <dcterms:modified xsi:type="dcterms:W3CDTF">2022-09-27T18:20:00Z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