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3D1" w14:textId="1A7C6FD0" w:rsidR="00F63200" w:rsidRPr="0045073A" w:rsidRDefault="004B5ECF" w:rsidP="00230AC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45073A">
        <w:rPr>
          <w:rFonts w:ascii="Arial" w:hAnsi="Arial" w:cs="Arial"/>
          <w:b/>
          <w:sz w:val="24"/>
          <w:szCs w:val="24"/>
        </w:rPr>
        <w:t>Occupational Health</w:t>
      </w:r>
      <w:r w:rsidR="00105862" w:rsidRPr="0045073A">
        <w:rPr>
          <w:rFonts w:ascii="Arial" w:hAnsi="Arial" w:cs="Arial"/>
          <w:b/>
          <w:sz w:val="24"/>
          <w:szCs w:val="24"/>
        </w:rPr>
        <w:t xml:space="preserve"> </w:t>
      </w:r>
      <w:r w:rsidR="009F166B">
        <w:rPr>
          <w:rFonts w:ascii="Arial" w:hAnsi="Arial" w:cs="Arial"/>
          <w:b/>
          <w:sz w:val="24"/>
          <w:szCs w:val="24"/>
        </w:rPr>
        <w:t>to Prevent the Transmission of Infections</w:t>
      </w:r>
    </w:p>
    <w:p w14:paraId="4FEE2C7B" w14:textId="19B5D2C7" w:rsidR="00EC4BAD" w:rsidRPr="0045073A" w:rsidRDefault="00EC4BAD" w:rsidP="00EC4BAD">
      <w:pPr>
        <w:rPr>
          <w:rFonts w:ascii="Arial" w:hAnsi="Arial" w:cs="Arial"/>
          <w:b/>
          <w:sz w:val="24"/>
          <w:szCs w:val="24"/>
        </w:rPr>
      </w:pPr>
      <w:r w:rsidRPr="0045073A">
        <w:rPr>
          <w:rFonts w:ascii="Arial" w:hAnsi="Arial" w:cs="Arial"/>
          <w:b/>
          <w:sz w:val="24"/>
          <w:szCs w:val="24"/>
        </w:rPr>
        <w:t xml:space="preserve">Date Implemented: </w:t>
      </w:r>
    </w:p>
    <w:p w14:paraId="6F63E353" w14:textId="7F5E0BBD" w:rsidR="00EC4BAD" w:rsidRPr="0045073A" w:rsidRDefault="00EC4BAD" w:rsidP="00EC4BAD">
      <w:pPr>
        <w:rPr>
          <w:rFonts w:ascii="Arial" w:hAnsi="Arial" w:cs="Arial"/>
          <w:b/>
          <w:sz w:val="24"/>
          <w:szCs w:val="24"/>
        </w:rPr>
      </w:pPr>
      <w:r w:rsidRPr="0045073A">
        <w:rPr>
          <w:rFonts w:ascii="Arial" w:hAnsi="Arial" w:cs="Arial"/>
          <w:b/>
          <w:sz w:val="24"/>
          <w:szCs w:val="24"/>
        </w:rPr>
        <w:t xml:space="preserve">Review/Updated Date: </w:t>
      </w:r>
    </w:p>
    <w:p w14:paraId="5D2054CD" w14:textId="4F9B5ECB" w:rsidR="00076145" w:rsidRPr="0045073A" w:rsidRDefault="00D30357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5073A">
        <w:rPr>
          <w:rFonts w:ascii="Arial" w:hAnsi="Arial" w:cs="Arial"/>
          <w:b/>
          <w:bCs/>
          <w:sz w:val="24"/>
          <w:szCs w:val="24"/>
          <w:u w:val="single"/>
        </w:rPr>
        <w:t>Policy</w:t>
      </w:r>
    </w:p>
    <w:p w14:paraId="16906299" w14:textId="3BAEDAB7" w:rsidR="00F3697A" w:rsidRPr="0045073A" w:rsidRDefault="009F166B" w:rsidP="004B6B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Older adults</w:t>
      </w:r>
      <w:r w:rsidR="00DC5937" w:rsidRPr="0045073A">
        <w:rPr>
          <w:rFonts w:ascii="Arial" w:hAnsi="Arial" w:cs="Arial"/>
          <w:sz w:val="24"/>
          <w:szCs w:val="24"/>
        </w:rPr>
        <w:t xml:space="preserve"> are at an increased risk of acquiring illnesses that may cause </w:t>
      </w:r>
      <w:r w:rsidR="00904FA0" w:rsidRPr="0045073A">
        <w:rPr>
          <w:rFonts w:ascii="Arial" w:hAnsi="Arial" w:cs="Arial"/>
          <w:sz w:val="24"/>
          <w:szCs w:val="24"/>
        </w:rPr>
        <w:t>serious</w:t>
      </w:r>
      <w:r w:rsidR="00DC5937" w:rsidRPr="0045073A">
        <w:rPr>
          <w:rFonts w:ascii="Arial" w:hAnsi="Arial" w:cs="Arial"/>
          <w:sz w:val="24"/>
          <w:szCs w:val="24"/>
        </w:rPr>
        <w:t xml:space="preserve"> illness and even death.  Staff members </w:t>
      </w:r>
      <w:r w:rsidR="00DA7B1E" w:rsidRPr="0045073A">
        <w:rPr>
          <w:rFonts w:ascii="Arial" w:hAnsi="Arial" w:cs="Arial"/>
          <w:sz w:val="24"/>
          <w:szCs w:val="24"/>
        </w:rPr>
        <w:t xml:space="preserve">present an increased risk to the </w:t>
      </w:r>
      <w:r w:rsidR="00840D72" w:rsidRPr="0045073A">
        <w:rPr>
          <w:rFonts w:ascii="Arial" w:hAnsi="Arial" w:cs="Arial"/>
          <w:sz w:val="24"/>
          <w:szCs w:val="24"/>
        </w:rPr>
        <w:t>resident</w:t>
      </w:r>
      <w:r w:rsidR="005C664F" w:rsidRPr="0045073A">
        <w:rPr>
          <w:rFonts w:ascii="Arial" w:hAnsi="Arial" w:cs="Arial"/>
          <w:sz w:val="24"/>
          <w:szCs w:val="24"/>
        </w:rPr>
        <w:t>s’</w:t>
      </w:r>
      <w:r w:rsidR="00DA7B1E" w:rsidRPr="0045073A">
        <w:rPr>
          <w:rFonts w:ascii="Arial" w:hAnsi="Arial" w:cs="Arial"/>
          <w:sz w:val="24"/>
          <w:szCs w:val="24"/>
        </w:rPr>
        <w:t xml:space="preserve"> health and safety because of the potential for community and/or </w:t>
      </w:r>
      <w:r w:rsidR="00840D72" w:rsidRPr="0045073A">
        <w:rPr>
          <w:rFonts w:ascii="Arial" w:hAnsi="Arial" w:cs="Arial"/>
          <w:sz w:val="24"/>
          <w:szCs w:val="24"/>
        </w:rPr>
        <w:t>work-related</w:t>
      </w:r>
      <w:r w:rsidR="00DA7B1E" w:rsidRPr="0045073A">
        <w:rPr>
          <w:rFonts w:ascii="Arial" w:hAnsi="Arial" w:cs="Arial"/>
          <w:sz w:val="24"/>
          <w:szCs w:val="24"/>
        </w:rPr>
        <w:t xml:space="preserve"> exposures to disease and illness.  </w:t>
      </w:r>
      <w:r w:rsidR="0031477E">
        <w:rPr>
          <w:rFonts w:ascii="Arial" w:hAnsi="Arial" w:cs="Arial"/>
          <w:sz w:val="24"/>
          <w:szCs w:val="24"/>
        </w:rPr>
        <w:t xml:space="preserve">With the increased risk </w:t>
      </w:r>
      <w:r w:rsidR="004806F1">
        <w:rPr>
          <w:rFonts w:ascii="Arial" w:hAnsi="Arial" w:cs="Arial"/>
          <w:sz w:val="24"/>
          <w:szCs w:val="24"/>
        </w:rPr>
        <w:t>of infection transmission, it is critical for health care providers to establish procedures for occupational health</w:t>
      </w:r>
      <w:r w:rsidR="00E862AC">
        <w:rPr>
          <w:rFonts w:ascii="Arial" w:hAnsi="Arial" w:cs="Arial"/>
          <w:sz w:val="24"/>
          <w:szCs w:val="24"/>
        </w:rPr>
        <w:t xml:space="preserve">. </w:t>
      </w:r>
    </w:p>
    <w:p w14:paraId="5A4B2331" w14:textId="1D926EB2" w:rsidR="00023CD8" w:rsidRDefault="00023CD8" w:rsidP="004B6B13">
      <w:pPr>
        <w:rPr>
          <w:rFonts w:ascii="Arial" w:hAnsi="Arial" w:cs="Arial"/>
          <w:sz w:val="24"/>
          <w:szCs w:val="24"/>
        </w:rPr>
      </w:pPr>
      <w:r w:rsidRPr="0045073A">
        <w:rPr>
          <w:rFonts w:ascii="Arial" w:hAnsi="Arial" w:cs="Arial"/>
          <w:sz w:val="24"/>
          <w:szCs w:val="24"/>
        </w:rPr>
        <w:t xml:space="preserve">Occupational health services address both infectious and non-infectious causes of illness and injury, however, this policy relates strictly to infection control.  </w:t>
      </w:r>
    </w:p>
    <w:p w14:paraId="4738DBA3" w14:textId="687BD5E9" w:rsidR="00AB397C" w:rsidRPr="00AB397C" w:rsidRDefault="00AB397C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B397C">
        <w:rPr>
          <w:rFonts w:ascii="Arial" w:hAnsi="Arial" w:cs="Arial"/>
          <w:b/>
          <w:bCs/>
          <w:sz w:val="24"/>
          <w:szCs w:val="24"/>
          <w:u w:val="single"/>
        </w:rPr>
        <w:t>Definitions</w:t>
      </w:r>
    </w:p>
    <w:p w14:paraId="6C76E915" w14:textId="5AD88B7D" w:rsidR="00FF68AC" w:rsidRPr="00FF68AC" w:rsidRDefault="00FF68AC" w:rsidP="004B6B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Bloodborne pathogens </w:t>
      </w:r>
      <w:proofErr w:type="gramStart"/>
      <w:r w:rsidR="00B1293F">
        <w:rPr>
          <w:rFonts w:ascii="Arial" w:hAnsi="Arial" w:cs="Arial"/>
          <w:sz w:val="24"/>
          <w:szCs w:val="24"/>
        </w:rPr>
        <w:t>includes</w:t>
      </w:r>
      <w:proofErr w:type="gramEnd"/>
      <w:r w:rsidR="00B1293F">
        <w:rPr>
          <w:rFonts w:ascii="Arial" w:hAnsi="Arial" w:cs="Arial"/>
          <w:sz w:val="24"/>
          <w:szCs w:val="24"/>
        </w:rPr>
        <w:t xml:space="preserve"> pathogenic microorganisms that are present in human blood and can cause disease in humans. These pathogens include, but are not limited to, hepatitis B virus (HBV) and human immunodeficiency virus (HIV). </w:t>
      </w:r>
    </w:p>
    <w:p w14:paraId="7590BABF" w14:textId="4B969FA2" w:rsidR="00AB397C" w:rsidRPr="0045073A" w:rsidRDefault="00AB397C" w:rsidP="004B6B13">
      <w:pPr>
        <w:rPr>
          <w:rFonts w:ascii="Arial" w:hAnsi="Arial" w:cs="Arial"/>
          <w:sz w:val="24"/>
          <w:szCs w:val="24"/>
        </w:rPr>
      </w:pPr>
      <w:r w:rsidRPr="00AB397C">
        <w:rPr>
          <w:rFonts w:ascii="Arial" w:hAnsi="Arial" w:cs="Arial"/>
          <w:b/>
          <w:bCs/>
          <w:sz w:val="24"/>
          <w:szCs w:val="24"/>
        </w:rPr>
        <w:t>Exposure incidents</w:t>
      </w:r>
      <w:r>
        <w:rPr>
          <w:rFonts w:ascii="Arial" w:hAnsi="Arial" w:cs="Arial"/>
          <w:sz w:val="24"/>
          <w:szCs w:val="24"/>
        </w:rPr>
        <w:t xml:space="preserve"> include eye, mouth, other mucous membrane, non-intact skin, or parenteral contact with blood or other potentially infectious materials that result from the performance of a worker’s duties. </w:t>
      </w:r>
    </w:p>
    <w:p w14:paraId="66861D93" w14:textId="2087190C" w:rsidR="00310C80" w:rsidRPr="0045073A" w:rsidRDefault="00310C80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5073A">
        <w:rPr>
          <w:rFonts w:ascii="Arial" w:hAnsi="Arial" w:cs="Arial"/>
          <w:b/>
          <w:bCs/>
          <w:sz w:val="24"/>
          <w:szCs w:val="24"/>
          <w:u w:val="single"/>
        </w:rPr>
        <w:t>Procedures</w:t>
      </w:r>
    </w:p>
    <w:p w14:paraId="25EF5494" w14:textId="02AA0093" w:rsidR="00571B14" w:rsidRPr="0045073A" w:rsidRDefault="007F40CA" w:rsidP="008F7650">
      <w:pPr>
        <w:rPr>
          <w:rFonts w:ascii="Arial" w:hAnsi="Arial" w:cs="Arial"/>
          <w:sz w:val="24"/>
          <w:szCs w:val="24"/>
        </w:rPr>
      </w:pPr>
      <w:r w:rsidRPr="0045073A">
        <w:rPr>
          <w:rFonts w:ascii="Arial" w:hAnsi="Arial" w:cs="Arial"/>
          <w:sz w:val="24"/>
          <w:szCs w:val="24"/>
          <w:u w:val="single"/>
        </w:rPr>
        <w:t>OSHA’s Blood Borne Pathogen Standards:</w:t>
      </w:r>
    </w:p>
    <w:p w14:paraId="32F3CAAB" w14:textId="58DC5FA2" w:rsidR="00857221" w:rsidRPr="0045073A" w:rsidRDefault="007F40CA" w:rsidP="00857221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45073A">
        <w:rPr>
          <w:rFonts w:ascii="Arial" w:hAnsi="Arial" w:cs="Arial"/>
          <w:sz w:val="24"/>
          <w:szCs w:val="24"/>
        </w:rPr>
        <w:t xml:space="preserve">OSHA’s blood borne pathogen standard prescribes safeguards to protect staff members who are occupationally exposed to blood or other potentially infectious materials.  </w:t>
      </w:r>
      <w:r w:rsidR="00857221" w:rsidRPr="0045073A">
        <w:rPr>
          <w:rFonts w:ascii="Arial" w:hAnsi="Arial" w:cs="Arial"/>
          <w:sz w:val="24"/>
          <w:szCs w:val="24"/>
        </w:rPr>
        <w:t xml:space="preserve">This standard describes actions the provider must take to prevent occupational exposures and respond to exposures when they occur. </w:t>
      </w:r>
    </w:p>
    <w:p w14:paraId="594F70C1" w14:textId="25EDFE1A" w:rsidR="00C704BA" w:rsidRPr="0045073A" w:rsidRDefault="00C704BA" w:rsidP="00857221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45073A">
        <w:rPr>
          <w:rFonts w:ascii="Arial" w:hAnsi="Arial" w:cs="Arial"/>
          <w:sz w:val="24"/>
          <w:szCs w:val="24"/>
        </w:rPr>
        <w:t xml:space="preserve">Exposure Control Plan: </w:t>
      </w:r>
    </w:p>
    <w:p w14:paraId="3639F028" w14:textId="4791D4A5" w:rsidR="00FF36D8" w:rsidRPr="0045073A" w:rsidRDefault="00FF36D8" w:rsidP="00FF36D8">
      <w:pPr>
        <w:pStyle w:val="ListParagraph"/>
        <w:numPr>
          <w:ilvl w:val="1"/>
          <w:numId w:val="32"/>
        </w:numPr>
        <w:rPr>
          <w:rFonts w:ascii="Arial" w:hAnsi="Arial" w:cs="Arial"/>
          <w:sz w:val="24"/>
          <w:szCs w:val="24"/>
        </w:rPr>
      </w:pPr>
      <w:proofErr w:type="gramStart"/>
      <w:r w:rsidRPr="0045073A">
        <w:rPr>
          <w:rFonts w:ascii="Arial" w:hAnsi="Arial" w:cs="Arial"/>
          <w:sz w:val="24"/>
          <w:szCs w:val="24"/>
        </w:rPr>
        <w:t>Is</w:t>
      </w:r>
      <w:proofErr w:type="gramEnd"/>
      <w:r w:rsidRPr="0045073A">
        <w:rPr>
          <w:rFonts w:ascii="Arial" w:hAnsi="Arial" w:cs="Arial"/>
          <w:sz w:val="24"/>
          <w:szCs w:val="24"/>
        </w:rPr>
        <w:t xml:space="preserve"> a written plan describing </w:t>
      </w:r>
      <w:r w:rsidR="007113C6" w:rsidRPr="0045073A">
        <w:rPr>
          <w:rFonts w:ascii="Arial" w:hAnsi="Arial" w:cs="Arial"/>
          <w:sz w:val="24"/>
          <w:szCs w:val="24"/>
        </w:rPr>
        <w:t xml:space="preserve">how the provider will eliminate or minimize occupational exposures for staff. </w:t>
      </w:r>
    </w:p>
    <w:p w14:paraId="40978D24" w14:textId="19DCCC53" w:rsidR="007113C6" w:rsidRDefault="007113C6" w:rsidP="00FF36D8">
      <w:pPr>
        <w:pStyle w:val="ListParagraph"/>
        <w:numPr>
          <w:ilvl w:val="1"/>
          <w:numId w:val="32"/>
        </w:numPr>
        <w:rPr>
          <w:rFonts w:ascii="Arial" w:hAnsi="Arial" w:cs="Arial"/>
          <w:sz w:val="24"/>
          <w:szCs w:val="24"/>
        </w:rPr>
      </w:pPr>
      <w:r w:rsidRPr="0045073A">
        <w:rPr>
          <w:rFonts w:ascii="Arial" w:hAnsi="Arial" w:cs="Arial"/>
          <w:sz w:val="24"/>
          <w:szCs w:val="24"/>
        </w:rPr>
        <w:t xml:space="preserve">The exposure control plan must be updated or reviewed annually and reflect input from the frontline staff. </w:t>
      </w:r>
    </w:p>
    <w:p w14:paraId="51338544" w14:textId="7819C50E" w:rsidR="001A164E" w:rsidRDefault="001A164E" w:rsidP="00FF36D8">
      <w:pPr>
        <w:pStyle w:val="ListParagraph"/>
        <w:numPr>
          <w:ilvl w:val="1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exposure control plan </w:t>
      </w:r>
      <w:r w:rsidR="008C4B92">
        <w:rPr>
          <w:rFonts w:ascii="Arial" w:hAnsi="Arial" w:cs="Arial"/>
          <w:sz w:val="24"/>
          <w:szCs w:val="24"/>
        </w:rPr>
        <w:t xml:space="preserve">must include: </w:t>
      </w:r>
    </w:p>
    <w:p w14:paraId="7A61315A" w14:textId="114D7E9C" w:rsidR="008C4B92" w:rsidRDefault="008C4B92" w:rsidP="008C4B92">
      <w:pPr>
        <w:pStyle w:val="ListParagraph"/>
        <w:numPr>
          <w:ilvl w:val="2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exposure determination that contains a list of job classifications in which workers have occupational exposure along with a list of the tasks and procedures performed by those workers that result in exposure. </w:t>
      </w:r>
    </w:p>
    <w:p w14:paraId="23E368DC" w14:textId="778B7069" w:rsidR="008C4B92" w:rsidRDefault="008C4B92" w:rsidP="008C4B92">
      <w:pPr>
        <w:pStyle w:val="ListParagraph"/>
        <w:numPr>
          <w:ilvl w:val="2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Identification of engineering controls to remove or reduce the risk of exposure, such as devices that isolate or remove the hazard from the workplace including self-sheathing needles. </w:t>
      </w:r>
    </w:p>
    <w:p w14:paraId="12A6B1CF" w14:textId="5ED388C6" w:rsidR="008C4B92" w:rsidRDefault="008C4B92" w:rsidP="008C4B92">
      <w:pPr>
        <w:pStyle w:val="ListParagraph"/>
        <w:numPr>
          <w:ilvl w:val="2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Identification of workplace controls including practices that reduce the possibility of exposure by changing the way a task is performed such as handling of laundry. </w:t>
      </w:r>
    </w:p>
    <w:p w14:paraId="724A817E" w14:textId="09635BE1" w:rsidR="001D5868" w:rsidRDefault="006F122F" w:rsidP="00AF44CA">
      <w:pPr>
        <w:pStyle w:val="ListParagraph"/>
        <w:numPr>
          <w:ilvl w:val="2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post-exposure evaluation and follow-up to a worker who experiences an exposure incident. This must include </w:t>
      </w:r>
      <w:r w:rsidR="008278A7">
        <w:rPr>
          <w:rFonts w:ascii="Arial" w:hAnsi="Arial" w:cs="Arial"/>
          <w:sz w:val="24"/>
          <w:szCs w:val="24"/>
        </w:rPr>
        <w:t>an evaluation and follow-up that is at no cost to the employee, offers post-exposure prophylaxis counseling and evaluation</w:t>
      </w:r>
      <w:r w:rsidR="001D5868">
        <w:rPr>
          <w:rFonts w:ascii="Arial" w:hAnsi="Arial" w:cs="Arial"/>
          <w:sz w:val="24"/>
          <w:szCs w:val="24"/>
        </w:rPr>
        <w:t xml:space="preserve"> by contracting with outside entities to provide these services. Additionally, the staff must be aware of: </w:t>
      </w:r>
    </w:p>
    <w:p w14:paraId="324A185F" w14:textId="5AD16C5C" w:rsidR="00AF44CA" w:rsidRDefault="00AF44CA" w:rsidP="00AF44CA">
      <w:pPr>
        <w:pStyle w:val="ListParagraph"/>
        <w:numPr>
          <w:ilvl w:val="3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to recognize and immediately respond to an exposure incident. </w:t>
      </w:r>
    </w:p>
    <w:p w14:paraId="68EBCA51" w14:textId="76E6692F" w:rsidR="00AF44CA" w:rsidRDefault="00AF44CA" w:rsidP="00AF44CA">
      <w:pPr>
        <w:pStyle w:val="ListParagraph"/>
        <w:numPr>
          <w:ilvl w:val="3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Who to contact to report the exposure. </w:t>
      </w:r>
    </w:p>
    <w:p w14:paraId="36835B95" w14:textId="6F7910C0" w:rsidR="00AF44CA" w:rsidRDefault="00AF44CA" w:rsidP="00AF44CA">
      <w:pPr>
        <w:pStyle w:val="ListParagraph"/>
        <w:numPr>
          <w:ilvl w:val="3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to access occupational health services. </w:t>
      </w:r>
    </w:p>
    <w:p w14:paraId="36BC07BF" w14:textId="0AB40255" w:rsidR="008B5661" w:rsidRDefault="008B5661" w:rsidP="00AF44CA">
      <w:pPr>
        <w:pStyle w:val="ListParagraph"/>
        <w:numPr>
          <w:ilvl w:val="3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outlining the procedures must be readily accessible to all staff. </w:t>
      </w:r>
    </w:p>
    <w:p w14:paraId="5F8AFF1E" w14:textId="5D48F33F" w:rsidR="008B5661" w:rsidRDefault="008B5661" w:rsidP="00AF44CA">
      <w:pPr>
        <w:pStyle w:val="ListParagraph"/>
        <w:numPr>
          <w:ilvl w:val="3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to document</w:t>
      </w:r>
      <w:r w:rsidR="00DB4820">
        <w:rPr>
          <w:rFonts w:ascii="Arial" w:hAnsi="Arial" w:cs="Arial"/>
          <w:sz w:val="24"/>
          <w:szCs w:val="24"/>
        </w:rPr>
        <w:t xml:space="preserve"> exposure incidents including the route(s) and circumstances involved in specific incidents</w:t>
      </w:r>
      <w:r w:rsidR="00063128">
        <w:rPr>
          <w:rFonts w:ascii="Arial" w:hAnsi="Arial" w:cs="Arial"/>
          <w:sz w:val="24"/>
          <w:szCs w:val="24"/>
        </w:rPr>
        <w:t xml:space="preserve"> which </w:t>
      </w:r>
      <w:proofErr w:type="gramStart"/>
      <w:r w:rsidR="00063128">
        <w:rPr>
          <w:rFonts w:ascii="Arial" w:hAnsi="Arial" w:cs="Arial"/>
          <w:sz w:val="24"/>
          <w:szCs w:val="24"/>
        </w:rPr>
        <w:t>is</w:t>
      </w:r>
      <w:proofErr w:type="gramEnd"/>
      <w:r w:rsidR="00063128">
        <w:rPr>
          <w:rFonts w:ascii="Arial" w:hAnsi="Arial" w:cs="Arial"/>
          <w:sz w:val="24"/>
          <w:szCs w:val="24"/>
        </w:rPr>
        <w:t xml:space="preserve"> used to inform annual updates to the exposure control plan and actions to prevent similar incidents. </w:t>
      </w:r>
    </w:p>
    <w:p w14:paraId="7D1C609D" w14:textId="12C910D4" w:rsidR="00AF44CA" w:rsidRPr="00AF44CA" w:rsidRDefault="00063128" w:rsidP="00AF44CA">
      <w:pPr>
        <w:pStyle w:val="ListParagraph"/>
        <w:numPr>
          <w:ilvl w:val="2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information must </w:t>
      </w:r>
      <w:r w:rsidR="00CB10B3">
        <w:rPr>
          <w:rFonts w:ascii="Arial" w:hAnsi="Arial" w:cs="Arial"/>
          <w:sz w:val="24"/>
          <w:szCs w:val="24"/>
        </w:rPr>
        <w:t>be included in</w:t>
      </w:r>
      <w:r>
        <w:rPr>
          <w:rFonts w:ascii="Arial" w:hAnsi="Arial" w:cs="Arial"/>
          <w:sz w:val="24"/>
          <w:szCs w:val="24"/>
        </w:rPr>
        <w:t xml:space="preserve"> QAPI activities. </w:t>
      </w:r>
    </w:p>
    <w:p w14:paraId="263B8071" w14:textId="14635651" w:rsidR="00687198" w:rsidRDefault="00687198" w:rsidP="00A32A68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Employee Physical</w:t>
      </w:r>
      <w:r w:rsidR="0063411E">
        <w:rPr>
          <w:rFonts w:ascii="Arial" w:hAnsi="Arial" w:cs="Arial"/>
          <w:sz w:val="24"/>
          <w:szCs w:val="24"/>
          <w:u w:val="single"/>
        </w:rPr>
        <w:t xml:space="preserve"> and Tuberculin Status</w:t>
      </w:r>
    </w:p>
    <w:p w14:paraId="25C3501A" w14:textId="5D13228B" w:rsidR="0063411E" w:rsidRPr="0063411E" w:rsidRDefault="0063411E" w:rsidP="00A32A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Another important component of the infection prevention and control program is </w:t>
      </w:r>
      <w:r w:rsidR="00A76D2B">
        <w:rPr>
          <w:rFonts w:ascii="Arial" w:hAnsi="Arial" w:cs="Arial"/>
          <w:sz w:val="24"/>
          <w:szCs w:val="24"/>
        </w:rPr>
        <w:t xml:space="preserve">ensuring that employees complete </w:t>
      </w:r>
      <w:r w:rsidR="007102FB">
        <w:rPr>
          <w:rFonts w:ascii="Arial" w:hAnsi="Arial" w:cs="Arial"/>
          <w:sz w:val="24"/>
          <w:szCs w:val="24"/>
        </w:rPr>
        <w:t xml:space="preserve">employee </w:t>
      </w:r>
      <w:proofErr w:type="gramStart"/>
      <w:r w:rsidR="007102FB">
        <w:rPr>
          <w:rFonts w:ascii="Arial" w:hAnsi="Arial" w:cs="Arial"/>
          <w:sz w:val="24"/>
          <w:szCs w:val="24"/>
        </w:rPr>
        <w:t>physicals</w:t>
      </w:r>
      <w:proofErr w:type="gramEnd"/>
      <w:r w:rsidR="00A76D2B">
        <w:rPr>
          <w:rFonts w:ascii="Arial" w:hAnsi="Arial" w:cs="Arial"/>
          <w:sz w:val="24"/>
          <w:szCs w:val="24"/>
        </w:rPr>
        <w:t xml:space="preserve"> and monitoring tubercul</w:t>
      </w:r>
      <w:r w:rsidR="00FA3AA0">
        <w:rPr>
          <w:rFonts w:ascii="Arial" w:hAnsi="Arial" w:cs="Arial"/>
          <w:sz w:val="24"/>
          <w:szCs w:val="24"/>
        </w:rPr>
        <w:t>osis</w:t>
      </w:r>
      <w:r w:rsidR="00A76D2B">
        <w:rPr>
          <w:rFonts w:ascii="Arial" w:hAnsi="Arial" w:cs="Arial"/>
          <w:sz w:val="24"/>
          <w:szCs w:val="24"/>
        </w:rPr>
        <w:t xml:space="preserve"> status as required by the State of Iowa. </w:t>
      </w:r>
      <w:r w:rsidR="007102FB">
        <w:rPr>
          <w:rFonts w:ascii="Arial" w:hAnsi="Arial" w:cs="Arial"/>
          <w:sz w:val="24"/>
          <w:szCs w:val="24"/>
        </w:rPr>
        <w:t xml:space="preserve">481-58.10(3) requires that the nursing home </w:t>
      </w:r>
      <w:proofErr w:type="gramStart"/>
      <w:r w:rsidR="007102FB">
        <w:rPr>
          <w:rFonts w:ascii="Arial" w:hAnsi="Arial" w:cs="Arial"/>
          <w:sz w:val="24"/>
          <w:szCs w:val="24"/>
        </w:rPr>
        <w:t>ha</w:t>
      </w:r>
      <w:r w:rsidR="00684C39">
        <w:rPr>
          <w:rFonts w:ascii="Arial" w:hAnsi="Arial" w:cs="Arial"/>
          <w:sz w:val="24"/>
          <w:szCs w:val="24"/>
        </w:rPr>
        <w:t>ve</w:t>
      </w:r>
      <w:proofErr w:type="gramEnd"/>
      <w:r w:rsidR="00684C39">
        <w:rPr>
          <w:rFonts w:ascii="Arial" w:hAnsi="Arial" w:cs="Arial"/>
          <w:sz w:val="24"/>
          <w:szCs w:val="24"/>
        </w:rPr>
        <w:t xml:space="preserve"> a policy outlining that the employee will obtain a physical examination before employment and at least every four years thereafter. Additionally, screening and testing for tuberculosis shall be conducted as outlined in 481-59</w:t>
      </w:r>
      <w:r w:rsidR="00FA3AA0">
        <w:rPr>
          <w:rFonts w:ascii="Arial" w:hAnsi="Arial" w:cs="Arial"/>
          <w:sz w:val="24"/>
          <w:szCs w:val="24"/>
        </w:rPr>
        <w:t xml:space="preserve">. See separate policy and procedures. </w:t>
      </w:r>
    </w:p>
    <w:p w14:paraId="441D7BFF" w14:textId="18704609" w:rsidR="008354B8" w:rsidRPr="0045073A" w:rsidRDefault="00A32A68" w:rsidP="00A32A68">
      <w:pPr>
        <w:rPr>
          <w:rFonts w:ascii="Arial" w:hAnsi="Arial" w:cs="Arial"/>
          <w:sz w:val="24"/>
          <w:szCs w:val="24"/>
          <w:u w:val="single"/>
        </w:rPr>
      </w:pPr>
      <w:r w:rsidRPr="0045073A">
        <w:rPr>
          <w:rFonts w:ascii="Arial" w:hAnsi="Arial" w:cs="Arial"/>
          <w:sz w:val="24"/>
          <w:szCs w:val="24"/>
          <w:u w:val="single"/>
        </w:rPr>
        <w:t>Employee Work Restrictions</w:t>
      </w:r>
      <w:r w:rsidR="009D778B" w:rsidRPr="0045073A">
        <w:rPr>
          <w:rFonts w:ascii="Arial" w:hAnsi="Arial" w:cs="Arial"/>
          <w:sz w:val="24"/>
          <w:szCs w:val="24"/>
          <w:u w:val="single"/>
        </w:rPr>
        <w:t>:</w:t>
      </w:r>
    </w:p>
    <w:p w14:paraId="6A392C72" w14:textId="730C70ED" w:rsidR="00EB7C19" w:rsidRPr="0045073A" w:rsidRDefault="00EB7C19" w:rsidP="00EB7C19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45073A">
        <w:rPr>
          <w:rFonts w:ascii="Arial" w:hAnsi="Arial" w:cs="Arial"/>
          <w:sz w:val="24"/>
          <w:szCs w:val="24"/>
        </w:rPr>
        <w:t xml:space="preserve">Treatment and containment of infectious illnesses among staff are important to protect residents and other staff </w:t>
      </w:r>
      <w:r w:rsidR="00C442F5" w:rsidRPr="0045073A">
        <w:rPr>
          <w:rFonts w:ascii="Arial" w:hAnsi="Arial" w:cs="Arial"/>
          <w:sz w:val="24"/>
          <w:szCs w:val="24"/>
        </w:rPr>
        <w:t xml:space="preserve">from pathogen exposure. </w:t>
      </w:r>
    </w:p>
    <w:p w14:paraId="3F5535F3" w14:textId="186F9D7E" w:rsidR="00C442F5" w:rsidRPr="0045073A" w:rsidRDefault="00C442F5" w:rsidP="00EB7C19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45073A">
        <w:rPr>
          <w:rFonts w:ascii="Arial" w:hAnsi="Arial" w:cs="Arial"/>
          <w:sz w:val="24"/>
          <w:szCs w:val="24"/>
        </w:rPr>
        <w:t xml:space="preserve">Organizations should have policies and procedures addressing work restrictions and discouraging “presenteeism”. </w:t>
      </w:r>
    </w:p>
    <w:p w14:paraId="0CF99EA1" w14:textId="505BF4D3" w:rsidR="007931FE" w:rsidRPr="0045073A" w:rsidRDefault="007931FE" w:rsidP="00EB7C19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45073A">
        <w:rPr>
          <w:rFonts w:ascii="Arial" w:hAnsi="Arial" w:cs="Arial"/>
          <w:sz w:val="24"/>
          <w:szCs w:val="24"/>
        </w:rPr>
        <w:t xml:space="preserve">Policies and </w:t>
      </w:r>
      <w:r w:rsidR="001C422F" w:rsidRPr="0045073A">
        <w:rPr>
          <w:rFonts w:ascii="Arial" w:hAnsi="Arial" w:cs="Arial"/>
          <w:sz w:val="24"/>
          <w:szCs w:val="24"/>
        </w:rPr>
        <w:t>p</w:t>
      </w:r>
      <w:r w:rsidRPr="0045073A">
        <w:rPr>
          <w:rFonts w:ascii="Arial" w:hAnsi="Arial" w:cs="Arial"/>
          <w:sz w:val="24"/>
          <w:szCs w:val="24"/>
        </w:rPr>
        <w:t xml:space="preserve">rocedures should exclude potentially infectious staff from the workplace or resident contact and prevent susceptible staff from caring for infectious residents when </w:t>
      </w:r>
      <w:r w:rsidR="001C422F" w:rsidRPr="0045073A">
        <w:rPr>
          <w:rFonts w:ascii="Arial" w:hAnsi="Arial" w:cs="Arial"/>
          <w:sz w:val="24"/>
          <w:szCs w:val="24"/>
        </w:rPr>
        <w:t xml:space="preserve">immune staff are available.  </w:t>
      </w:r>
    </w:p>
    <w:p w14:paraId="7335D2C3" w14:textId="4F3E10D4" w:rsidR="001C422F" w:rsidRPr="0045073A" w:rsidRDefault="001C422F" w:rsidP="00EB7C19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45073A">
        <w:rPr>
          <w:rFonts w:ascii="Arial" w:hAnsi="Arial" w:cs="Arial"/>
          <w:sz w:val="24"/>
          <w:szCs w:val="24"/>
        </w:rPr>
        <w:lastRenderedPageBreak/>
        <w:t xml:space="preserve">Policies and procedures should be designed to encourage staff to report illnesses and exposures, </w:t>
      </w:r>
      <w:r w:rsidR="00BE69DE">
        <w:rPr>
          <w:rFonts w:ascii="Arial" w:hAnsi="Arial" w:cs="Arial"/>
          <w:sz w:val="24"/>
          <w:szCs w:val="24"/>
        </w:rPr>
        <w:t xml:space="preserve">and </w:t>
      </w:r>
      <w:r w:rsidRPr="0045073A">
        <w:rPr>
          <w:rFonts w:ascii="Arial" w:hAnsi="Arial" w:cs="Arial"/>
          <w:sz w:val="24"/>
          <w:szCs w:val="24"/>
        </w:rPr>
        <w:t>should not penalize staff with loss of wages</w:t>
      </w:r>
      <w:r w:rsidR="00501E29" w:rsidRPr="0045073A">
        <w:rPr>
          <w:rFonts w:ascii="Arial" w:hAnsi="Arial" w:cs="Arial"/>
          <w:sz w:val="24"/>
          <w:szCs w:val="24"/>
        </w:rPr>
        <w:t xml:space="preserve">, </w:t>
      </w:r>
      <w:r w:rsidR="009D778B" w:rsidRPr="0045073A">
        <w:rPr>
          <w:rFonts w:ascii="Arial" w:hAnsi="Arial" w:cs="Arial"/>
          <w:sz w:val="24"/>
          <w:szCs w:val="24"/>
        </w:rPr>
        <w:t>benefits,</w:t>
      </w:r>
      <w:r w:rsidR="00501E29" w:rsidRPr="0045073A">
        <w:rPr>
          <w:rFonts w:ascii="Arial" w:hAnsi="Arial" w:cs="Arial"/>
          <w:sz w:val="24"/>
          <w:szCs w:val="24"/>
        </w:rPr>
        <w:t xml:space="preserve"> or job status.  </w:t>
      </w:r>
    </w:p>
    <w:p w14:paraId="6C028ED9" w14:textId="6694FA8F" w:rsidR="00501E29" w:rsidRPr="0045073A" w:rsidRDefault="00501E29" w:rsidP="00EB7C19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45073A">
        <w:rPr>
          <w:rFonts w:ascii="Arial" w:hAnsi="Arial" w:cs="Arial"/>
          <w:sz w:val="24"/>
          <w:szCs w:val="24"/>
        </w:rPr>
        <w:t xml:space="preserve">Staff should know which infections or symptoms may warrant exclusion and where to report illnesses. </w:t>
      </w:r>
    </w:p>
    <w:p w14:paraId="7C5D3E0D" w14:textId="244F463B" w:rsidR="00501E29" w:rsidRPr="0045073A" w:rsidRDefault="00501E29" w:rsidP="00EB7C19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45073A">
        <w:rPr>
          <w:rFonts w:ascii="Arial" w:hAnsi="Arial" w:cs="Arial"/>
          <w:sz w:val="24"/>
          <w:szCs w:val="24"/>
        </w:rPr>
        <w:t xml:space="preserve">To support work restriction policies, organization administrators should ensure adequate resources to address potential staff shortages. </w:t>
      </w:r>
    </w:p>
    <w:p w14:paraId="104616BC" w14:textId="6F6788CD" w:rsidR="00103435" w:rsidRPr="0045073A" w:rsidRDefault="00103435" w:rsidP="00EB7C19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45073A">
        <w:rPr>
          <w:rFonts w:ascii="Arial" w:hAnsi="Arial" w:cs="Arial"/>
          <w:sz w:val="24"/>
          <w:szCs w:val="24"/>
        </w:rPr>
        <w:t xml:space="preserve">Organizations should ensure that all contracted staff have policies and procedures as well to </w:t>
      </w:r>
      <w:r w:rsidR="00010E73" w:rsidRPr="0045073A">
        <w:rPr>
          <w:rFonts w:ascii="Arial" w:hAnsi="Arial" w:cs="Arial"/>
          <w:sz w:val="24"/>
          <w:szCs w:val="24"/>
        </w:rPr>
        <w:t>meet</w:t>
      </w:r>
      <w:r w:rsidRPr="0045073A">
        <w:rPr>
          <w:rFonts w:ascii="Arial" w:hAnsi="Arial" w:cs="Arial"/>
          <w:sz w:val="24"/>
          <w:szCs w:val="24"/>
        </w:rPr>
        <w:t xml:space="preserve"> expectations. </w:t>
      </w:r>
    </w:p>
    <w:p w14:paraId="5286D295" w14:textId="77777777" w:rsidR="00010E73" w:rsidRDefault="00010E73" w:rsidP="00103435">
      <w:pPr>
        <w:rPr>
          <w:rFonts w:ascii="Arial" w:hAnsi="Arial" w:cs="Arial"/>
          <w:sz w:val="24"/>
          <w:szCs w:val="24"/>
          <w:u w:val="single"/>
        </w:rPr>
      </w:pPr>
    </w:p>
    <w:p w14:paraId="2CAB5C8E" w14:textId="71F8028D" w:rsidR="00103435" w:rsidRPr="0045073A" w:rsidRDefault="00103435" w:rsidP="00103435">
      <w:pPr>
        <w:rPr>
          <w:rFonts w:ascii="Arial" w:hAnsi="Arial" w:cs="Arial"/>
          <w:sz w:val="24"/>
          <w:szCs w:val="24"/>
          <w:u w:val="single"/>
        </w:rPr>
      </w:pPr>
      <w:r w:rsidRPr="0045073A">
        <w:rPr>
          <w:rFonts w:ascii="Arial" w:hAnsi="Arial" w:cs="Arial"/>
          <w:sz w:val="24"/>
          <w:szCs w:val="24"/>
          <w:u w:val="single"/>
        </w:rPr>
        <w:t xml:space="preserve">Vaccination: </w:t>
      </w:r>
    </w:p>
    <w:p w14:paraId="69FBD88D" w14:textId="00F5A512" w:rsidR="00103435" w:rsidRPr="0045073A" w:rsidRDefault="005579C5" w:rsidP="00103435">
      <w:pPr>
        <w:rPr>
          <w:rFonts w:ascii="Arial" w:hAnsi="Arial" w:cs="Arial"/>
          <w:sz w:val="24"/>
          <w:szCs w:val="24"/>
        </w:rPr>
      </w:pPr>
      <w:r w:rsidRPr="0045073A">
        <w:rPr>
          <w:rFonts w:ascii="Arial" w:hAnsi="Arial" w:cs="Arial"/>
          <w:sz w:val="24"/>
          <w:szCs w:val="24"/>
        </w:rPr>
        <w:t xml:space="preserve">See additional policies and procedures related to Influenza, Pneumonia and COVID-19 vaccination. </w:t>
      </w:r>
    </w:p>
    <w:p w14:paraId="52EF6942" w14:textId="77777777" w:rsidR="00F85CD4" w:rsidRPr="0045073A" w:rsidRDefault="00F85CD4" w:rsidP="00103435">
      <w:pPr>
        <w:rPr>
          <w:rFonts w:ascii="Arial" w:hAnsi="Arial" w:cs="Arial"/>
          <w:sz w:val="24"/>
          <w:szCs w:val="24"/>
        </w:rPr>
      </w:pPr>
    </w:p>
    <w:p w14:paraId="25182DF7" w14:textId="2546BDE2" w:rsidR="007C011D" w:rsidRPr="0045073A" w:rsidRDefault="007C011D" w:rsidP="008F765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5073A">
        <w:rPr>
          <w:rFonts w:ascii="Arial" w:hAnsi="Arial" w:cs="Arial"/>
          <w:b/>
          <w:bCs/>
          <w:sz w:val="24"/>
          <w:szCs w:val="24"/>
          <w:u w:val="single"/>
        </w:rPr>
        <w:t>Resources</w:t>
      </w:r>
    </w:p>
    <w:p w14:paraId="08693B7F" w14:textId="7270BEF8" w:rsidR="00FA3AA0" w:rsidRDefault="00FA3AA0" w:rsidP="007353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DIAL</w:t>
      </w:r>
      <w:r w:rsidR="002638E2">
        <w:rPr>
          <w:rFonts w:ascii="Arial" w:hAnsi="Arial" w:cs="Arial"/>
          <w:sz w:val="24"/>
          <w:szCs w:val="24"/>
        </w:rPr>
        <w:t xml:space="preserve"> (</w:t>
      </w:r>
      <w:r w:rsidR="00F0212F">
        <w:rPr>
          <w:rFonts w:ascii="Arial" w:hAnsi="Arial" w:cs="Arial"/>
          <w:sz w:val="24"/>
          <w:szCs w:val="24"/>
        </w:rPr>
        <w:t xml:space="preserve">2025, Feb. 5) </w:t>
      </w:r>
      <w:r w:rsidR="00F0212F" w:rsidRPr="00F0212F">
        <w:rPr>
          <w:rFonts w:ascii="Arial" w:hAnsi="Arial" w:cs="Arial"/>
          <w:i/>
          <w:iCs/>
          <w:sz w:val="24"/>
          <w:szCs w:val="24"/>
        </w:rPr>
        <w:t>Chapter 58 - Nursing Facilities</w:t>
      </w:r>
      <w:r w:rsidR="00F0212F">
        <w:rPr>
          <w:rFonts w:ascii="Arial" w:hAnsi="Arial" w:cs="Arial"/>
          <w:sz w:val="24"/>
          <w:szCs w:val="24"/>
        </w:rPr>
        <w:t xml:space="preserve">. </w:t>
      </w:r>
      <w:hyperlink r:id="rId10" w:history="1">
        <w:r w:rsidR="00F0212F" w:rsidRPr="007732DD">
          <w:rPr>
            <w:rStyle w:val="Hyperlink"/>
            <w:rFonts w:ascii="Arial" w:hAnsi="Arial" w:cs="Arial"/>
            <w:sz w:val="24"/>
            <w:szCs w:val="24"/>
          </w:rPr>
          <w:t>https://www.legis.iowa.gov/docs/iac/chapter/10-01-2025.481.58.pdf</w:t>
        </w:r>
      </w:hyperlink>
      <w:r w:rsidR="00F0212F">
        <w:rPr>
          <w:rFonts w:ascii="Arial" w:hAnsi="Arial" w:cs="Arial"/>
          <w:sz w:val="24"/>
          <w:szCs w:val="24"/>
        </w:rPr>
        <w:t xml:space="preserve"> </w:t>
      </w:r>
    </w:p>
    <w:p w14:paraId="724E6749" w14:textId="42210929" w:rsidR="005F1D2E" w:rsidRDefault="005F1D2E" w:rsidP="007353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OSHA. (</w:t>
      </w:r>
      <w:r w:rsidR="009D7DA3">
        <w:rPr>
          <w:rFonts w:ascii="Arial" w:hAnsi="Arial" w:cs="Arial"/>
          <w:sz w:val="24"/>
          <w:szCs w:val="24"/>
        </w:rPr>
        <w:t xml:space="preserve">2019, May 14) </w:t>
      </w:r>
      <w:r w:rsidR="00954611" w:rsidRPr="00F0212F">
        <w:rPr>
          <w:rFonts w:ascii="Arial" w:hAnsi="Arial" w:cs="Arial"/>
          <w:i/>
          <w:iCs/>
          <w:sz w:val="24"/>
          <w:szCs w:val="24"/>
        </w:rPr>
        <w:t>Bloodborne Pathogens Standard 1910.1030.</w:t>
      </w:r>
      <w:r w:rsidR="00954611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954611" w:rsidRPr="007732DD">
          <w:rPr>
            <w:rStyle w:val="Hyperlink"/>
            <w:rFonts w:ascii="Arial" w:hAnsi="Arial" w:cs="Arial"/>
            <w:sz w:val="24"/>
            <w:szCs w:val="24"/>
          </w:rPr>
          <w:t>https://www.osha.gov/laws-regs/regulations/standardnumber/1910/1910.1030</w:t>
        </w:r>
      </w:hyperlink>
      <w:r w:rsidR="00954611">
        <w:rPr>
          <w:rFonts w:ascii="Arial" w:hAnsi="Arial" w:cs="Arial"/>
          <w:sz w:val="24"/>
          <w:szCs w:val="24"/>
        </w:rPr>
        <w:t xml:space="preserve">. </w:t>
      </w:r>
    </w:p>
    <w:p w14:paraId="2BA8172D" w14:textId="02EDA7E3" w:rsidR="007C011D" w:rsidRPr="0045073A" w:rsidRDefault="007C011D" w:rsidP="00735359">
      <w:pPr>
        <w:rPr>
          <w:rFonts w:ascii="Arial" w:hAnsi="Arial" w:cs="Arial"/>
          <w:sz w:val="24"/>
          <w:szCs w:val="24"/>
        </w:rPr>
      </w:pPr>
      <w:r w:rsidRPr="0045073A">
        <w:rPr>
          <w:rFonts w:ascii="Arial" w:hAnsi="Arial" w:cs="Arial"/>
          <w:sz w:val="24"/>
          <w:szCs w:val="24"/>
        </w:rPr>
        <w:t>CMS. (</w:t>
      </w:r>
      <w:r w:rsidR="001A5355">
        <w:rPr>
          <w:rFonts w:ascii="Arial" w:hAnsi="Arial" w:cs="Arial"/>
          <w:sz w:val="24"/>
          <w:szCs w:val="24"/>
        </w:rPr>
        <w:t>2025. Jul. 23</w:t>
      </w:r>
      <w:r w:rsidRPr="0045073A">
        <w:rPr>
          <w:rFonts w:ascii="Arial" w:hAnsi="Arial" w:cs="Arial"/>
          <w:sz w:val="24"/>
          <w:szCs w:val="24"/>
        </w:rPr>
        <w:t xml:space="preserve">). </w:t>
      </w:r>
      <w:r w:rsidRPr="0045073A">
        <w:rPr>
          <w:rFonts w:ascii="Arial" w:hAnsi="Arial" w:cs="Arial"/>
          <w:i/>
          <w:iCs/>
          <w:sz w:val="24"/>
          <w:szCs w:val="24"/>
        </w:rPr>
        <w:t>State Operations Manual, Appendix PP – Guidance to Surveyors for Long Term Care Facilities, F880</w:t>
      </w:r>
      <w:r w:rsidRPr="0045073A">
        <w:rPr>
          <w:rFonts w:ascii="Arial" w:hAnsi="Arial" w:cs="Arial"/>
          <w:sz w:val="24"/>
          <w:szCs w:val="24"/>
        </w:rPr>
        <w:t>.</w:t>
      </w:r>
      <w:r w:rsidR="005F1D2E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5F1D2E" w:rsidRPr="007732DD">
          <w:rPr>
            <w:rStyle w:val="Hyperlink"/>
            <w:rFonts w:ascii="Arial" w:hAnsi="Arial" w:cs="Arial"/>
            <w:sz w:val="24"/>
            <w:szCs w:val="24"/>
          </w:rPr>
          <w:t>https://www.cms.gov/regulations-and-guidance/guidance/manuals/downloads/som107ap_pp_guidelines_ltcf.pdf</w:t>
        </w:r>
      </w:hyperlink>
      <w:r w:rsidR="005F1D2E">
        <w:rPr>
          <w:rFonts w:ascii="Arial" w:hAnsi="Arial" w:cs="Arial"/>
          <w:sz w:val="24"/>
          <w:szCs w:val="24"/>
        </w:rPr>
        <w:t xml:space="preserve"> </w:t>
      </w:r>
      <w:r w:rsidRPr="0045073A">
        <w:rPr>
          <w:rFonts w:ascii="Arial" w:hAnsi="Arial" w:cs="Arial"/>
          <w:sz w:val="24"/>
          <w:szCs w:val="24"/>
        </w:rPr>
        <w:t xml:space="preserve"> </w:t>
      </w:r>
    </w:p>
    <w:p w14:paraId="525B17B4" w14:textId="4BD403C9" w:rsidR="006E3919" w:rsidRPr="0045073A" w:rsidRDefault="007C011D" w:rsidP="00735359">
      <w:pPr>
        <w:rPr>
          <w:rStyle w:val="Hyperlink"/>
          <w:rFonts w:ascii="Arial" w:hAnsi="Arial" w:cs="Arial"/>
          <w:color w:val="007DB1"/>
          <w:sz w:val="24"/>
          <w:szCs w:val="24"/>
        </w:rPr>
      </w:pPr>
      <w:r w:rsidRPr="0045073A">
        <w:rPr>
          <w:rFonts w:ascii="Arial" w:hAnsi="Arial" w:cs="Arial"/>
          <w:sz w:val="24"/>
          <w:szCs w:val="24"/>
        </w:rPr>
        <w:t xml:space="preserve">CDC. (2020, June 10). </w:t>
      </w:r>
      <w:r w:rsidRPr="0045073A">
        <w:rPr>
          <w:rFonts w:ascii="Arial" w:hAnsi="Arial" w:cs="Arial"/>
          <w:i/>
          <w:iCs/>
          <w:sz w:val="24"/>
          <w:szCs w:val="24"/>
        </w:rPr>
        <w:t>Infection Prevention Training | LTCF</w:t>
      </w:r>
      <w:r w:rsidRPr="0045073A">
        <w:rPr>
          <w:rFonts w:ascii="Arial" w:hAnsi="Arial" w:cs="Arial"/>
          <w:sz w:val="24"/>
          <w:szCs w:val="24"/>
        </w:rPr>
        <w:t xml:space="preserve">. </w:t>
      </w:r>
      <w:hyperlink r:id="rId13" w:history="1">
        <w:r w:rsidRPr="0045073A">
          <w:rPr>
            <w:rStyle w:val="Hyperlink"/>
            <w:rFonts w:ascii="Arial" w:hAnsi="Arial" w:cs="Arial"/>
            <w:color w:val="007DB1"/>
            <w:sz w:val="24"/>
            <w:szCs w:val="24"/>
          </w:rPr>
          <w:t>https://www.cdc.gov/longtermcare/training.html</w:t>
        </w:r>
      </w:hyperlink>
    </w:p>
    <w:p w14:paraId="2E9B37EB" w14:textId="150BDB6D" w:rsidR="007B0D81" w:rsidRPr="005F1D2E" w:rsidRDefault="007B0D81" w:rsidP="007C011D">
      <w:pPr>
        <w:ind w:left="720" w:hanging="720"/>
        <w:rPr>
          <w:rFonts w:ascii="Arial" w:hAnsi="Arial" w:cs="Arial"/>
          <w:color w:val="0000FF"/>
          <w:sz w:val="24"/>
          <w:szCs w:val="24"/>
        </w:rPr>
      </w:pPr>
    </w:p>
    <w:sectPr w:rsidR="007B0D81" w:rsidRPr="005F1D2E" w:rsidSect="0045073A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8F28" w14:textId="77777777" w:rsidR="0063288D" w:rsidRDefault="0063288D" w:rsidP="00076145">
      <w:pPr>
        <w:spacing w:after="0" w:line="240" w:lineRule="auto"/>
      </w:pPr>
      <w:r>
        <w:separator/>
      </w:r>
    </w:p>
  </w:endnote>
  <w:endnote w:type="continuationSeparator" w:id="0">
    <w:p w14:paraId="036F0C78" w14:textId="77777777" w:rsidR="0063288D" w:rsidRDefault="0063288D" w:rsidP="0007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111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4B563B" w14:textId="261AAE9F" w:rsidR="0045073A" w:rsidRDefault="004507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776185" w14:textId="4D6F81A0" w:rsidR="001848FA" w:rsidRPr="001848FA" w:rsidRDefault="001848FA" w:rsidP="001848F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709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9E1C0" w14:textId="0F5C2C68" w:rsidR="0045073A" w:rsidRDefault="004507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5C075" w14:textId="77777777" w:rsidR="0045073A" w:rsidRDefault="0045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31D9" w14:textId="77777777" w:rsidR="0063288D" w:rsidRDefault="0063288D" w:rsidP="00076145">
      <w:pPr>
        <w:spacing w:after="0" w:line="240" w:lineRule="auto"/>
      </w:pPr>
      <w:r>
        <w:separator/>
      </w:r>
    </w:p>
  </w:footnote>
  <w:footnote w:type="continuationSeparator" w:id="0">
    <w:p w14:paraId="37A1E878" w14:textId="77777777" w:rsidR="0063288D" w:rsidRDefault="0063288D" w:rsidP="0007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3CCB" w14:textId="72A12EEC" w:rsidR="0045073A" w:rsidRDefault="0045073A" w:rsidP="0045073A">
    <w:pPr>
      <w:pStyle w:val="Header"/>
      <w:ind w:left="-1260"/>
    </w:pPr>
  </w:p>
  <w:p w14:paraId="19A44CB8" w14:textId="77777777" w:rsidR="0045073A" w:rsidRDefault="0045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40E" w14:textId="2C91FEA9" w:rsidR="0045073A" w:rsidRDefault="0045073A" w:rsidP="0045073A">
    <w:pPr>
      <w:pStyle w:val="Header"/>
      <w:ind w:left="-1260"/>
    </w:pPr>
    <w:r>
      <w:rPr>
        <w:noProof/>
      </w:rPr>
      <w:drawing>
        <wp:inline distT="0" distB="0" distL="0" distR="0" wp14:anchorId="77E354A9" wp14:editId="6733CB3B">
          <wp:extent cx="1276350" cy="866775"/>
          <wp:effectExtent l="0" t="0" r="0" b="9525"/>
          <wp:docPr id="1899033749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033749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D74"/>
    <w:multiLevelType w:val="hybridMultilevel"/>
    <w:tmpl w:val="397E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1CD"/>
    <w:multiLevelType w:val="hybridMultilevel"/>
    <w:tmpl w:val="5222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E99"/>
    <w:multiLevelType w:val="hybridMultilevel"/>
    <w:tmpl w:val="536814A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089C6C78"/>
    <w:multiLevelType w:val="hybridMultilevel"/>
    <w:tmpl w:val="2272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C3500"/>
    <w:multiLevelType w:val="hybridMultilevel"/>
    <w:tmpl w:val="E614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10DD9"/>
    <w:multiLevelType w:val="hybridMultilevel"/>
    <w:tmpl w:val="EE84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40D10"/>
    <w:multiLevelType w:val="hybridMultilevel"/>
    <w:tmpl w:val="8B2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B02D8"/>
    <w:multiLevelType w:val="hybridMultilevel"/>
    <w:tmpl w:val="9A76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513AA"/>
    <w:multiLevelType w:val="hybridMultilevel"/>
    <w:tmpl w:val="4A72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73CE9"/>
    <w:multiLevelType w:val="hybridMultilevel"/>
    <w:tmpl w:val="EB5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4144"/>
    <w:multiLevelType w:val="hybridMultilevel"/>
    <w:tmpl w:val="1C46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B0D9B"/>
    <w:multiLevelType w:val="hybridMultilevel"/>
    <w:tmpl w:val="559E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51209"/>
    <w:multiLevelType w:val="hybridMultilevel"/>
    <w:tmpl w:val="3B2A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A57E8"/>
    <w:multiLevelType w:val="hybridMultilevel"/>
    <w:tmpl w:val="71D2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832F3"/>
    <w:multiLevelType w:val="hybridMultilevel"/>
    <w:tmpl w:val="B0263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E66C6"/>
    <w:multiLevelType w:val="hybridMultilevel"/>
    <w:tmpl w:val="002AB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020E2"/>
    <w:multiLevelType w:val="hybridMultilevel"/>
    <w:tmpl w:val="553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87F88"/>
    <w:multiLevelType w:val="hybridMultilevel"/>
    <w:tmpl w:val="C7349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F28AA"/>
    <w:multiLevelType w:val="hybridMultilevel"/>
    <w:tmpl w:val="7498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D7CB0"/>
    <w:multiLevelType w:val="hybridMultilevel"/>
    <w:tmpl w:val="9C9EE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72421"/>
    <w:multiLevelType w:val="hybridMultilevel"/>
    <w:tmpl w:val="712E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710ED"/>
    <w:multiLevelType w:val="hybridMultilevel"/>
    <w:tmpl w:val="0AEE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740F6"/>
    <w:multiLevelType w:val="hybridMultilevel"/>
    <w:tmpl w:val="D3702E2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3" w15:restartNumberingAfterBreak="0">
    <w:nsid w:val="48216BB1"/>
    <w:multiLevelType w:val="hybridMultilevel"/>
    <w:tmpl w:val="46EC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F043F"/>
    <w:multiLevelType w:val="hybridMultilevel"/>
    <w:tmpl w:val="3934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85871"/>
    <w:multiLevelType w:val="hybridMultilevel"/>
    <w:tmpl w:val="3F7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231F"/>
    <w:multiLevelType w:val="hybridMultilevel"/>
    <w:tmpl w:val="1D40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766FD"/>
    <w:multiLevelType w:val="hybridMultilevel"/>
    <w:tmpl w:val="79B6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90876"/>
    <w:multiLevelType w:val="hybridMultilevel"/>
    <w:tmpl w:val="9FE4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667B9"/>
    <w:multiLevelType w:val="hybridMultilevel"/>
    <w:tmpl w:val="D3B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30F90"/>
    <w:multiLevelType w:val="hybridMultilevel"/>
    <w:tmpl w:val="949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0588A"/>
    <w:multiLevelType w:val="hybridMultilevel"/>
    <w:tmpl w:val="CC60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D6689"/>
    <w:multiLevelType w:val="hybridMultilevel"/>
    <w:tmpl w:val="E13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B7157"/>
    <w:multiLevelType w:val="hybridMultilevel"/>
    <w:tmpl w:val="C466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369801">
    <w:abstractNumId w:val="25"/>
  </w:num>
  <w:num w:numId="2" w16cid:durableId="1380204539">
    <w:abstractNumId w:val="2"/>
  </w:num>
  <w:num w:numId="3" w16cid:durableId="903371783">
    <w:abstractNumId w:val="22"/>
  </w:num>
  <w:num w:numId="4" w16cid:durableId="688918159">
    <w:abstractNumId w:val="29"/>
  </w:num>
  <w:num w:numId="5" w16cid:durableId="997535528">
    <w:abstractNumId w:val="30"/>
  </w:num>
  <w:num w:numId="6" w16cid:durableId="1593007669">
    <w:abstractNumId w:val="6"/>
  </w:num>
  <w:num w:numId="7" w16cid:durableId="27338711">
    <w:abstractNumId w:val="0"/>
  </w:num>
  <w:num w:numId="8" w16cid:durableId="1487436190">
    <w:abstractNumId w:val="16"/>
  </w:num>
  <w:num w:numId="9" w16cid:durableId="1405835632">
    <w:abstractNumId w:val="21"/>
  </w:num>
  <w:num w:numId="10" w16cid:durableId="779103826">
    <w:abstractNumId w:val="32"/>
  </w:num>
  <w:num w:numId="11" w16cid:durableId="1839728800">
    <w:abstractNumId w:val="9"/>
  </w:num>
  <w:num w:numId="12" w16cid:durableId="144712796">
    <w:abstractNumId w:val="1"/>
  </w:num>
  <w:num w:numId="13" w16cid:durableId="1002659961">
    <w:abstractNumId w:val="20"/>
  </w:num>
  <w:num w:numId="14" w16cid:durableId="1975717772">
    <w:abstractNumId w:val="28"/>
  </w:num>
  <w:num w:numId="15" w16cid:durableId="1151873516">
    <w:abstractNumId w:val="14"/>
  </w:num>
  <w:num w:numId="16" w16cid:durableId="1759709154">
    <w:abstractNumId w:val="33"/>
  </w:num>
  <w:num w:numId="17" w16cid:durableId="1888758481">
    <w:abstractNumId w:val="3"/>
  </w:num>
  <w:num w:numId="18" w16cid:durableId="1526940832">
    <w:abstractNumId w:val="31"/>
  </w:num>
  <w:num w:numId="19" w16cid:durableId="1211724601">
    <w:abstractNumId w:val="23"/>
  </w:num>
  <w:num w:numId="20" w16cid:durableId="388767091">
    <w:abstractNumId w:val="5"/>
  </w:num>
  <w:num w:numId="21" w16cid:durableId="2128962628">
    <w:abstractNumId w:val="11"/>
  </w:num>
  <w:num w:numId="22" w16cid:durableId="1231697290">
    <w:abstractNumId w:val="7"/>
  </w:num>
  <w:num w:numId="23" w16cid:durableId="1798066020">
    <w:abstractNumId w:val="12"/>
  </w:num>
  <w:num w:numId="24" w16cid:durableId="1937253213">
    <w:abstractNumId w:val="10"/>
  </w:num>
  <w:num w:numId="25" w16cid:durableId="1936815097">
    <w:abstractNumId w:val="4"/>
  </w:num>
  <w:num w:numId="26" w16cid:durableId="696155263">
    <w:abstractNumId w:val="24"/>
  </w:num>
  <w:num w:numId="27" w16cid:durableId="741416820">
    <w:abstractNumId w:val="27"/>
  </w:num>
  <w:num w:numId="28" w16cid:durableId="1891921524">
    <w:abstractNumId w:val="17"/>
  </w:num>
  <w:num w:numId="29" w16cid:durableId="303782217">
    <w:abstractNumId w:val="8"/>
  </w:num>
  <w:num w:numId="30" w16cid:durableId="1842088628">
    <w:abstractNumId w:val="26"/>
  </w:num>
  <w:num w:numId="31" w16cid:durableId="1302147712">
    <w:abstractNumId w:val="18"/>
  </w:num>
  <w:num w:numId="32" w16cid:durableId="2132476766">
    <w:abstractNumId w:val="15"/>
  </w:num>
  <w:num w:numId="33" w16cid:durableId="317157113">
    <w:abstractNumId w:val="13"/>
  </w:num>
  <w:num w:numId="34" w16cid:durableId="20706140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5"/>
    <w:rsid w:val="00003DFF"/>
    <w:rsid w:val="00010E73"/>
    <w:rsid w:val="000118A3"/>
    <w:rsid w:val="00015410"/>
    <w:rsid w:val="00023CD8"/>
    <w:rsid w:val="0002526B"/>
    <w:rsid w:val="00031061"/>
    <w:rsid w:val="00034BF9"/>
    <w:rsid w:val="00035519"/>
    <w:rsid w:val="000468E4"/>
    <w:rsid w:val="00051D3E"/>
    <w:rsid w:val="00056C55"/>
    <w:rsid w:val="00063128"/>
    <w:rsid w:val="00065C8C"/>
    <w:rsid w:val="00076145"/>
    <w:rsid w:val="00077DAE"/>
    <w:rsid w:val="00081017"/>
    <w:rsid w:val="00084D7A"/>
    <w:rsid w:val="00087266"/>
    <w:rsid w:val="000909F8"/>
    <w:rsid w:val="00097F40"/>
    <w:rsid w:val="000A750B"/>
    <w:rsid w:val="000B0542"/>
    <w:rsid w:val="000B0637"/>
    <w:rsid w:val="000B7C5E"/>
    <w:rsid w:val="000C4D7B"/>
    <w:rsid w:val="000C5A13"/>
    <w:rsid w:val="000D12E8"/>
    <w:rsid w:val="000D213F"/>
    <w:rsid w:val="000D7053"/>
    <w:rsid w:val="000E0441"/>
    <w:rsid w:val="000E219D"/>
    <w:rsid w:val="000E3C00"/>
    <w:rsid w:val="000E7350"/>
    <w:rsid w:val="000E7E65"/>
    <w:rsid w:val="000F33AF"/>
    <w:rsid w:val="000F6A97"/>
    <w:rsid w:val="00102E37"/>
    <w:rsid w:val="00103435"/>
    <w:rsid w:val="00105862"/>
    <w:rsid w:val="00107799"/>
    <w:rsid w:val="00110814"/>
    <w:rsid w:val="00113BDE"/>
    <w:rsid w:val="00127ED1"/>
    <w:rsid w:val="00135632"/>
    <w:rsid w:val="001367F4"/>
    <w:rsid w:val="00137593"/>
    <w:rsid w:val="00140B35"/>
    <w:rsid w:val="00142793"/>
    <w:rsid w:val="0014737F"/>
    <w:rsid w:val="001577B7"/>
    <w:rsid w:val="001655CB"/>
    <w:rsid w:val="00166EBC"/>
    <w:rsid w:val="001672E8"/>
    <w:rsid w:val="0017249E"/>
    <w:rsid w:val="00172B44"/>
    <w:rsid w:val="001751EF"/>
    <w:rsid w:val="00180047"/>
    <w:rsid w:val="001831A1"/>
    <w:rsid w:val="001848FA"/>
    <w:rsid w:val="001A164E"/>
    <w:rsid w:val="001A4179"/>
    <w:rsid w:val="001A5355"/>
    <w:rsid w:val="001A794C"/>
    <w:rsid w:val="001C422F"/>
    <w:rsid w:val="001C5050"/>
    <w:rsid w:val="001D226C"/>
    <w:rsid w:val="001D2FCC"/>
    <w:rsid w:val="001D546F"/>
    <w:rsid w:val="001D5868"/>
    <w:rsid w:val="001E0029"/>
    <w:rsid w:val="001E3198"/>
    <w:rsid w:val="001E500D"/>
    <w:rsid w:val="001F06AC"/>
    <w:rsid w:val="002076A5"/>
    <w:rsid w:val="00230AC3"/>
    <w:rsid w:val="00250D94"/>
    <w:rsid w:val="00257EA1"/>
    <w:rsid w:val="00260CA7"/>
    <w:rsid w:val="002638E2"/>
    <w:rsid w:val="00271E43"/>
    <w:rsid w:val="00272D84"/>
    <w:rsid w:val="00273DBC"/>
    <w:rsid w:val="00280C7F"/>
    <w:rsid w:val="00282C9D"/>
    <w:rsid w:val="00296E2C"/>
    <w:rsid w:val="002B401B"/>
    <w:rsid w:val="002B6F00"/>
    <w:rsid w:val="002C5048"/>
    <w:rsid w:val="002C5469"/>
    <w:rsid w:val="002C6F3D"/>
    <w:rsid w:val="002E195C"/>
    <w:rsid w:val="002E6900"/>
    <w:rsid w:val="002F219A"/>
    <w:rsid w:val="00305C0B"/>
    <w:rsid w:val="003073E5"/>
    <w:rsid w:val="0031082D"/>
    <w:rsid w:val="00310C80"/>
    <w:rsid w:val="003130F4"/>
    <w:rsid w:val="00313750"/>
    <w:rsid w:val="0031477E"/>
    <w:rsid w:val="00325BD3"/>
    <w:rsid w:val="00331F56"/>
    <w:rsid w:val="00332397"/>
    <w:rsid w:val="003343F0"/>
    <w:rsid w:val="00335015"/>
    <w:rsid w:val="00343010"/>
    <w:rsid w:val="00346AE0"/>
    <w:rsid w:val="00350C71"/>
    <w:rsid w:val="00351282"/>
    <w:rsid w:val="00354A46"/>
    <w:rsid w:val="00361AF2"/>
    <w:rsid w:val="00373FDC"/>
    <w:rsid w:val="003815E9"/>
    <w:rsid w:val="00393835"/>
    <w:rsid w:val="003950F2"/>
    <w:rsid w:val="003A0034"/>
    <w:rsid w:val="003A3458"/>
    <w:rsid w:val="003A3E2F"/>
    <w:rsid w:val="003A4568"/>
    <w:rsid w:val="003B0C4C"/>
    <w:rsid w:val="003C5E1A"/>
    <w:rsid w:val="003C6CAA"/>
    <w:rsid w:val="003D005A"/>
    <w:rsid w:val="003D3EA6"/>
    <w:rsid w:val="003D6681"/>
    <w:rsid w:val="003E2B66"/>
    <w:rsid w:val="003F5E94"/>
    <w:rsid w:val="0040063F"/>
    <w:rsid w:val="00400937"/>
    <w:rsid w:val="00412844"/>
    <w:rsid w:val="00414562"/>
    <w:rsid w:val="00414EA5"/>
    <w:rsid w:val="004232F0"/>
    <w:rsid w:val="004348F1"/>
    <w:rsid w:val="0045073A"/>
    <w:rsid w:val="00453807"/>
    <w:rsid w:val="00454A60"/>
    <w:rsid w:val="00463D1D"/>
    <w:rsid w:val="00464FF1"/>
    <w:rsid w:val="00467307"/>
    <w:rsid w:val="00472022"/>
    <w:rsid w:val="0047290E"/>
    <w:rsid w:val="00475C60"/>
    <w:rsid w:val="004766E1"/>
    <w:rsid w:val="00477AE2"/>
    <w:rsid w:val="004806F1"/>
    <w:rsid w:val="00480DA1"/>
    <w:rsid w:val="00485C4E"/>
    <w:rsid w:val="004A0352"/>
    <w:rsid w:val="004A1EF1"/>
    <w:rsid w:val="004B09A3"/>
    <w:rsid w:val="004B1835"/>
    <w:rsid w:val="004B3029"/>
    <w:rsid w:val="004B5ECF"/>
    <w:rsid w:val="004B6B13"/>
    <w:rsid w:val="004C058D"/>
    <w:rsid w:val="004C3260"/>
    <w:rsid w:val="004D376B"/>
    <w:rsid w:val="004E4CDE"/>
    <w:rsid w:val="004E582F"/>
    <w:rsid w:val="004F0971"/>
    <w:rsid w:val="004F6B1D"/>
    <w:rsid w:val="00501E29"/>
    <w:rsid w:val="00523057"/>
    <w:rsid w:val="00523460"/>
    <w:rsid w:val="00524C0D"/>
    <w:rsid w:val="005259E2"/>
    <w:rsid w:val="005341B2"/>
    <w:rsid w:val="00537F4C"/>
    <w:rsid w:val="00544BD4"/>
    <w:rsid w:val="00547153"/>
    <w:rsid w:val="00551DCB"/>
    <w:rsid w:val="005579C5"/>
    <w:rsid w:val="00557CFC"/>
    <w:rsid w:val="00571B14"/>
    <w:rsid w:val="00573683"/>
    <w:rsid w:val="00574950"/>
    <w:rsid w:val="0057656E"/>
    <w:rsid w:val="00584E02"/>
    <w:rsid w:val="005A39DD"/>
    <w:rsid w:val="005B0C80"/>
    <w:rsid w:val="005B1BCC"/>
    <w:rsid w:val="005C0227"/>
    <w:rsid w:val="005C0CDA"/>
    <w:rsid w:val="005C2F37"/>
    <w:rsid w:val="005C664F"/>
    <w:rsid w:val="005D33ED"/>
    <w:rsid w:val="005D6827"/>
    <w:rsid w:val="005D6E5A"/>
    <w:rsid w:val="005E2843"/>
    <w:rsid w:val="005E38F4"/>
    <w:rsid w:val="005E434A"/>
    <w:rsid w:val="005F1D2E"/>
    <w:rsid w:val="005F359D"/>
    <w:rsid w:val="00614B74"/>
    <w:rsid w:val="006151A8"/>
    <w:rsid w:val="00622366"/>
    <w:rsid w:val="0062476E"/>
    <w:rsid w:val="006275FD"/>
    <w:rsid w:val="0063288D"/>
    <w:rsid w:val="0063411E"/>
    <w:rsid w:val="0063667F"/>
    <w:rsid w:val="00637CB6"/>
    <w:rsid w:val="00641491"/>
    <w:rsid w:val="00656539"/>
    <w:rsid w:val="006663E3"/>
    <w:rsid w:val="006728C3"/>
    <w:rsid w:val="00684A9F"/>
    <w:rsid w:val="00684C39"/>
    <w:rsid w:val="00687198"/>
    <w:rsid w:val="0068770D"/>
    <w:rsid w:val="00690626"/>
    <w:rsid w:val="00694498"/>
    <w:rsid w:val="006958A6"/>
    <w:rsid w:val="0069716F"/>
    <w:rsid w:val="006A5416"/>
    <w:rsid w:val="006A729F"/>
    <w:rsid w:val="006A7A4D"/>
    <w:rsid w:val="006B0E50"/>
    <w:rsid w:val="006B2164"/>
    <w:rsid w:val="006B2DBD"/>
    <w:rsid w:val="006B3DB7"/>
    <w:rsid w:val="006D1B3E"/>
    <w:rsid w:val="006D525C"/>
    <w:rsid w:val="006E3919"/>
    <w:rsid w:val="006F05A7"/>
    <w:rsid w:val="006F0647"/>
    <w:rsid w:val="006F122F"/>
    <w:rsid w:val="006F47A4"/>
    <w:rsid w:val="006F49D2"/>
    <w:rsid w:val="006F52C6"/>
    <w:rsid w:val="007102FB"/>
    <w:rsid w:val="007113C6"/>
    <w:rsid w:val="007135A1"/>
    <w:rsid w:val="007136AC"/>
    <w:rsid w:val="00713BC6"/>
    <w:rsid w:val="007215F6"/>
    <w:rsid w:val="0073046A"/>
    <w:rsid w:val="00735359"/>
    <w:rsid w:val="00735E06"/>
    <w:rsid w:val="007372DF"/>
    <w:rsid w:val="007459A9"/>
    <w:rsid w:val="00746D6B"/>
    <w:rsid w:val="00754B72"/>
    <w:rsid w:val="007743EE"/>
    <w:rsid w:val="00775063"/>
    <w:rsid w:val="00776966"/>
    <w:rsid w:val="007853B6"/>
    <w:rsid w:val="007931FE"/>
    <w:rsid w:val="00795286"/>
    <w:rsid w:val="0079713F"/>
    <w:rsid w:val="007A6859"/>
    <w:rsid w:val="007B0554"/>
    <w:rsid w:val="007B0D81"/>
    <w:rsid w:val="007B6686"/>
    <w:rsid w:val="007B6E8D"/>
    <w:rsid w:val="007C011D"/>
    <w:rsid w:val="007C27B7"/>
    <w:rsid w:val="007C7B67"/>
    <w:rsid w:val="007D4791"/>
    <w:rsid w:val="007E043E"/>
    <w:rsid w:val="007E381D"/>
    <w:rsid w:val="007E4481"/>
    <w:rsid w:val="007E62CB"/>
    <w:rsid w:val="007E6C99"/>
    <w:rsid w:val="007F08EC"/>
    <w:rsid w:val="007F1440"/>
    <w:rsid w:val="007F40CA"/>
    <w:rsid w:val="007F4D42"/>
    <w:rsid w:val="00810346"/>
    <w:rsid w:val="008249A0"/>
    <w:rsid w:val="008278A7"/>
    <w:rsid w:val="008354B8"/>
    <w:rsid w:val="00840BF8"/>
    <w:rsid w:val="00840D72"/>
    <w:rsid w:val="0084191F"/>
    <w:rsid w:val="0084538D"/>
    <w:rsid w:val="00857221"/>
    <w:rsid w:val="00857F7B"/>
    <w:rsid w:val="00866339"/>
    <w:rsid w:val="00866BDF"/>
    <w:rsid w:val="00871C72"/>
    <w:rsid w:val="0088449A"/>
    <w:rsid w:val="00892B45"/>
    <w:rsid w:val="00892FF3"/>
    <w:rsid w:val="00897FDE"/>
    <w:rsid w:val="008A2505"/>
    <w:rsid w:val="008B0AD0"/>
    <w:rsid w:val="008B4FAC"/>
    <w:rsid w:val="008B5661"/>
    <w:rsid w:val="008C4B92"/>
    <w:rsid w:val="008D016D"/>
    <w:rsid w:val="008D3534"/>
    <w:rsid w:val="008E6C47"/>
    <w:rsid w:val="008F7650"/>
    <w:rsid w:val="00904FA0"/>
    <w:rsid w:val="009127FA"/>
    <w:rsid w:val="0092641E"/>
    <w:rsid w:val="00934F56"/>
    <w:rsid w:val="009424C4"/>
    <w:rsid w:val="00954611"/>
    <w:rsid w:val="0095701E"/>
    <w:rsid w:val="00965C93"/>
    <w:rsid w:val="0096754F"/>
    <w:rsid w:val="00996CF0"/>
    <w:rsid w:val="009A3FE6"/>
    <w:rsid w:val="009B74D0"/>
    <w:rsid w:val="009D2D36"/>
    <w:rsid w:val="009D61BE"/>
    <w:rsid w:val="009D778B"/>
    <w:rsid w:val="009D7DA3"/>
    <w:rsid w:val="009E42BE"/>
    <w:rsid w:val="009E49E3"/>
    <w:rsid w:val="009F166B"/>
    <w:rsid w:val="009F622E"/>
    <w:rsid w:val="00A00573"/>
    <w:rsid w:val="00A06CBA"/>
    <w:rsid w:val="00A07685"/>
    <w:rsid w:val="00A1288F"/>
    <w:rsid w:val="00A21913"/>
    <w:rsid w:val="00A24E39"/>
    <w:rsid w:val="00A31EFD"/>
    <w:rsid w:val="00A32A68"/>
    <w:rsid w:val="00A3458E"/>
    <w:rsid w:val="00A34FC5"/>
    <w:rsid w:val="00A41320"/>
    <w:rsid w:val="00A41512"/>
    <w:rsid w:val="00A42F0D"/>
    <w:rsid w:val="00A53B0C"/>
    <w:rsid w:val="00A6038F"/>
    <w:rsid w:val="00A62106"/>
    <w:rsid w:val="00A62755"/>
    <w:rsid w:val="00A62EF7"/>
    <w:rsid w:val="00A6529A"/>
    <w:rsid w:val="00A74771"/>
    <w:rsid w:val="00A752F4"/>
    <w:rsid w:val="00A76428"/>
    <w:rsid w:val="00A76D2B"/>
    <w:rsid w:val="00A8669F"/>
    <w:rsid w:val="00A90257"/>
    <w:rsid w:val="00A90C94"/>
    <w:rsid w:val="00A93D89"/>
    <w:rsid w:val="00A964A5"/>
    <w:rsid w:val="00AA3887"/>
    <w:rsid w:val="00AA4E1A"/>
    <w:rsid w:val="00AB2E8C"/>
    <w:rsid w:val="00AB397C"/>
    <w:rsid w:val="00AD4BA8"/>
    <w:rsid w:val="00AF0520"/>
    <w:rsid w:val="00AF12F6"/>
    <w:rsid w:val="00AF44CA"/>
    <w:rsid w:val="00B00FF4"/>
    <w:rsid w:val="00B06631"/>
    <w:rsid w:val="00B1293F"/>
    <w:rsid w:val="00B16AC6"/>
    <w:rsid w:val="00B17506"/>
    <w:rsid w:val="00B33211"/>
    <w:rsid w:val="00B34E1D"/>
    <w:rsid w:val="00B373DD"/>
    <w:rsid w:val="00B4770D"/>
    <w:rsid w:val="00B546D9"/>
    <w:rsid w:val="00B57E38"/>
    <w:rsid w:val="00B63510"/>
    <w:rsid w:val="00B63562"/>
    <w:rsid w:val="00B71E02"/>
    <w:rsid w:val="00B84B39"/>
    <w:rsid w:val="00B9155A"/>
    <w:rsid w:val="00BA3892"/>
    <w:rsid w:val="00BA541F"/>
    <w:rsid w:val="00BB0A16"/>
    <w:rsid w:val="00BB6DB7"/>
    <w:rsid w:val="00BD2DE6"/>
    <w:rsid w:val="00BD5D0B"/>
    <w:rsid w:val="00BD6BB3"/>
    <w:rsid w:val="00BE69DE"/>
    <w:rsid w:val="00BF1D17"/>
    <w:rsid w:val="00C01726"/>
    <w:rsid w:val="00C10BFE"/>
    <w:rsid w:val="00C123A9"/>
    <w:rsid w:val="00C13348"/>
    <w:rsid w:val="00C14405"/>
    <w:rsid w:val="00C15A2E"/>
    <w:rsid w:val="00C425A6"/>
    <w:rsid w:val="00C442F5"/>
    <w:rsid w:val="00C474E1"/>
    <w:rsid w:val="00C47C94"/>
    <w:rsid w:val="00C55456"/>
    <w:rsid w:val="00C65902"/>
    <w:rsid w:val="00C704BA"/>
    <w:rsid w:val="00C77AC5"/>
    <w:rsid w:val="00C905DC"/>
    <w:rsid w:val="00C90DF2"/>
    <w:rsid w:val="00C94CB4"/>
    <w:rsid w:val="00CA216D"/>
    <w:rsid w:val="00CA785B"/>
    <w:rsid w:val="00CB10B3"/>
    <w:rsid w:val="00CB22A7"/>
    <w:rsid w:val="00CB3946"/>
    <w:rsid w:val="00CD2F7B"/>
    <w:rsid w:val="00CD722E"/>
    <w:rsid w:val="00CE76AD"/>
    <w:rsid w:val="00CE7897"/>
    <w:rsid w:val="00CF005C"/>
    <w:rsid w:val="00D015C1"/>
    <w:rsid w:val="00D11296"/>
    <w:rsid w:val="00D21932"/>
    <w:rsid w:val="00D25ADF"/>
    <w:rsid w:val="00D30357"/>
    <w:rsid w:val="00D5211A"/>
    <w:rsid w:val="00D54BA5"/>
    <w:rsid w:val="00D60762"/>
    <w:rsid w:val="00D62FB7"/>
    <w:rsid w:val="00D65CF9"/>
    <w:rsid w:val="00D71951"/>
    <w:rsid w:val="00D71CFC"/>
    <w:rsid w:val="00D73104"/>
    <w:rsid w:val="00D823C3"/>
    <w:rsid w:val="00D8440F"/>
    <w:rsid w:val="00D85A79"/>
    <w:rsid w:val="00D8766C"/>
    <w:rsid w:val="00DA5859"/>
    <w:rsid w:val="00DA7B1E"/>
    <w:rsid w:val="00DB3944"/>
    <w:rsid w:val="00DB4820"/>
    <w:rsid w:val="00DB5FB6"/>
    <w:rsid w:val="00DC22DF"/>
    <w:rsid w:val="00DC5937"/>
    <w:rsid w:val="00DE5158"/>
    <w:rsid w:val="00DF7304"/>
    <w:rsid w:val="00E000F3"/>
    <w:rsid w:val="00E01B4E"/>
    <w:rsid w:val="00E112FC"/>
    <w:rsid w:val="00E14010"/>
    <w:rsid w:val="00E14E44"/>
    <w:rsid w:val="00E2187D"/>
    <w:rsid w:val="00E22090"/>
    <w:rsid w:val="00E227D4"/>
    <w:rsid w:val="00E27EC1"/>
    <w:rsid w:val="00E467E9"/>
    <w:rsid w:val="00E50CEE"/>
    <w:rsid w:val="00E515E2"/>
    <w:rsid w:val="00E54F8D"/>
    <w:rsid w:val="00E64843"/>
    <w:rsid w:val="00E74E8D"/>
    <w:rsid w:val="00E77BBE"/>
    <w:rsid w:val="00E81A83"/>
    <w:rsid w:val="00E84D7E"/>
    <w:rsid w:val="00E862AC"/>
    <w:rsid w:val="00E868A9"/>
    <w:rsid w:val="00E975E6"/>
    <w:rsid w:val="00EA387D"/>
    <w:rsid w:val="00EA4ADA"/>
    <w:rsid w:val="00EA5EFD"/>
    <w:rsid w:val="00EA74F7"/>
    <w:rsid w:val="00EB5037"/>
    <w:rsid w:val="00EB7C19"/>
    <w:rsid w:val="00EC4BAD"/>
    <w:rsid w:val="00EE02E2"/>
    <w:rsid w:val="00EE0E6A"/>
    <w:rsid w:val="00EE1F71"/>
    <w:rsid w:val="00EF4C94"/>
    <w:rsid w:val="00F0212F"/>
    <w:rsid w:val="00F05D17"/>
    <w:rsid w:val="00F12F50"/>
    <w:rsid w:val="00F16AD8"/>
    <w:rsid w:val="00F26D3C"/>
    <w:rsid w:val="00F335FC"/>
    <w:rsid w:val="00F3697A"/>
    <w:rsid w:val="00F44940"/>
    <w:rsid w:val="00F467D6"/>
    <w:rsid w:val="00F47C21"/>
    <w:rsid w:val="00F55528"/>
    <w:rsid w:val="00F5600B"/>
    <w:rsid w:val="00F63200"/>
    <w:rsid w:val="00F65308"/>
    <w:rsid w:val="00F653C6"/>
    <w:rsid w:val="00F7714B"/>
    <w:rsid w:val="00F84CA3"/>
    <w:rsid w:val="00F85CD4"/>
    <w:rsid w:val="00F90ABA"/>
    <w:rsid w:val="00F937F0"/>
    <w:rsid w:val="00F95510"/>
    <w:rsid w:val="00FA3AA0"/>
    <w:rsid w:val="00FA69A3"/>
    <w:rsid w:val="00FB4409"/>
    <w:rsid w:val="00FC797C"/>
    <w:rsid w:val="00FD7440"/>
    <w:rsid w:val="00FD7DCC"/>
    <w:rsid w:val="00FF0A6F"/>
    <w:rsid w:val="00FF36D8"/>
    <w:rsid w:val="00FF68AC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33FF2"/>
  <w15:chartTrackingRefBased/>
  <w15:docId w15:val="{25237132-25A9-4CCC-B072-D61136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4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076145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145"/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FootnoteReference">
    <w:name w:val="footnote reference"/>
    <w:semiHidden/>
    <w:rsid w:val="00076145"/>
    <w:rPr>
      <w:vertAlign w:val="superscript"/>
    </w:rPr>
  </w:style>
  <w:style w:type="character" w:styleId="Hyperlink">
    <w:name w:val="Hyperlink"/>
    <w:rsid w:val="00076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A"/>
  </w:style>
  <w:style w:type="paragraph" w:styleId="Footer">
    <w:name w:val="footer"/>
    <w:basedOn w:val="Normal"/>
    <w:link w:val="Foot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A"/>
  </w:style>
  <w:style w:type="character" w:styleId="UnresolvedMention">
    <w:name w:val="Unresolved Mention"/>
    <w:basedOn w:val="DefaultParagraphFont"/>
    <w:uiPriority w:val="99"/>
    <w:semiHidden/>
    <w:unhideWhenUsed/>
    <w:rsid w:val="007B0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dc.gov/longtermcare/training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ms.gov/regulations-and-guidance/guidance/manuals/downloads/som107ap_pp_guidelines_ltcf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sha.gov/laws-regs/regulations/standardnumber/1910/1910.103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legis.iowa.gov/docs/iac/chapter/10-01-2025.481.58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2" ma:contentTypeDescription="Create a new document." ma:contentTypeScope="" ma:versionID="cdac2f1552f16f6db3e9ad6febb8062d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a8656677235d3d71fa23e0088d0cf59a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0A1A4-61C1-4D59-9660-B8505831EFCB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customXml/itemProps2.xml><?xml version="1.0" encoding="utf-8"?>
<ds:datastoreItem xmlns:ds="http://schemas.openxmlformats.org/officeDocument/2006/customXml" ds:itemID="{1F9BD929-337B-4250-B43B-D3D661A16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A6543-2138-44DC-90AF-6678B54DF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d5d7-55eb-4b11-a5a2-8323aab795f9"/>
    <ds:schemaRef ds:uri="0be3fa25-35b8-41ce-8d6c-28cf47fe6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LaGrange</dc:creator>
  <cp:keywords/>
  <dc:description/>
  <cp:lastModifiedBy>Kellie Van Ree</cp:lastModifiedBy>
  <cp:revision>38</cp:revision>
  <dcterms:created xsi:type="dcterms:W3CDTF">2025-10-13T14:49:00Z</dcterms:created>
  <dcterms:modified xsi:type="dcterms:W3CDTF">2025-10-13T15:42:00Z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  <property fmtid="{D5CDD505-2E9C-101B-9397-08002B2CF9AE}" pid="3" name="MediaServiceImageTags">
    <vt:lpwstr/>
  </property>
</Properties>
</file>