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63D1" w14:textId="48D2873F" w:rsidR="00F63200" w:rsidRDefault="006F47A4" w:rsidP="00230AC3">
      <w:pPr>
        <w:pBdr>
          <w:bottom w:val="single" w:sz="12" w:space="1" w:color="auto"/>
        </w:pBdr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 wp14:anchorId="4DD43ED8" wp14:editId="4E53802C">
            <wp:simplePos x="0" y="0"/>
            <wp:positionH relativeFrom="margin">
              <wp:align>left</wp:align>
            </wp:positionH>
            <wp:positionV relativeFrom="paragraph">
              <wp:posOffset>-1028700</wp:posOffset>
            </wp:positionV>
            <wp:extent cx="2009775" cy="825811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25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ECF">
        <w:rPr>
          <w:b/>
          <w:sz w:val="32"/>
          <w:szCs w:val="24"/>
        </w:rPr>
        <w:t>Occupational Health</w:t>
      </w:r>
      <w:r w:rsidR="00105862">
        <w:rPr>
          <w:b/>
          <w:sz w:val="32"/>
          <w:szCs w:val="24"/>
        </w:rPr>
        <w:t xml:space="preserve"> </w:t>
      </w:r>
      <w:r w:rsidR="00F3697A">
        <w:rPr>
          <w:b/>
          <w:sz w:val="32"/>
          <w:szCs w:val="24"/>
        </w:rPr>
        <w:t>Related to Infection Prevention and Control</w:t>
      </w:r>
    </w:p>
    <w:p w14:paraId="4FEE2C7B" w14:textId="19B5D2C7" w:rsidR="00EC4BAD" w:rsidRDefault="00EC4BAD" w:rsidP="00EC4B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Implemented: </w:t>
      </w:r>
    </w:p>
    <w:p w14:paraId="6F63E353" w14:textId="7F5E0BBD" w:rsidR="00EC4BAD" w:rsidRPr="00EC4BAD" w:rsidRDefault="00EC4BAD" w:rsidP="00EC4B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Review/Updated Date: </w:t>
      </w:r>
    </w:p>
    <w:p w14:paraId="5D2054CD" w14:textId="4F9B5ECB" w:rsidR="00076145" w:rsidRDefault="00D30357" w:rsidP="004B6B13">
      <w:pPr>
        <w:rPr>
          <w:b/>
          <w:bCs/>
          <w:sz w:val="24"/>
          <w:szCs w:val="24"/>
          <w:u w:val="single"/>
        </w:rPr>
      </w:pPr>
      <w:r w:rsidRPr="006F47A4">
        <w:rPr>
          <w:b/>
          <w:bCs/>
          <w:sz w:val="24"/>
          <w:szCs w:val="24"/>
          <w:u w:val="single"/>
        </w:rPr>
        <w:t>Policy</w:t>
      </w:r>
    </w:p>
    <w:p w14:paraId="16906299" w14:textId="02E15427" w:rsidR="00F3697A" w:rsidRDefault="00DC5937" w:rsidP="004B6B13">
      <w:pPr>
        <w:rPr>
          <w:sz w:val="24"/>
          <w:szCs w:val="24"/>
        </w:rPr>
      </w:pPr>
      <w:r>
        <w:rPr>
          <w:sz w:val="24"/>
          <w:szCs w:val="24"/>
        </w:rPr>
        <w:t xml:space="preserve">Elderly residents are at an increased risk of acquiring illnesses that may cause </w:t>
      </w:r>
      <w:r w:rsidR="00904FA0">
        <w:rPr>
          <w:sz w:val="24"/>
          <w:szCs w:val="24"/>
        </w:rPr>
        <w:t>serious</w:t>
      </w:r>
      <w:r>
        <w:rPr>
          <w:sz w:val="24"/>
          <w:szCs w:val="24"/>
        </w:rPr>
        <w:t xml:space="preserve"> illness and even death.  Staff members </w:t>
      </w:r>
      <w:r w:rsidR="00DA7B1E">
        <w:rPr>
          <w:sz w:val="24"/>
          <w:szCs w:val="24"/>
        </w:rPr>
        <w:t xml:space="preserve">present an increased risk to the </w:t>
      </w:r>
      <w:r w:rsidR="00840D72">
        <w:rPr>
          <w:sz w:val="24"/>
          <w:szCs w:val="24"/>
        </w:rPr>
        <w:t>resident</w:t>
      </w:r>
      <w:r w:rsidR="005C664F">
        <w:rPr>
          <w:sz w:val="24"/>
          <w:szCs w:val="24"/>
        </w:rPr>
        <w:t>s’</w:t>
      </w:r>
      <w:r w:rsidR="00DA7B1E">
        <w:rPr>
          <w:sz w:val="24"/>
          <w:szCs w:val="24"/>
        </w:rPr>
        <w:t xml:space="preserve"> health and safety because of the potential for community and/or </w:t>
      </w:r>
      <w:r w:rsidR="00840D72">
        <w:rPr>
          <w:sz w:val="24"/>
          <w:szCs w:val="24"/>
        </w:rPr>
        <w:t>work-related</w:t>
      </w:r>
      <w:r w:rsidR="00DA7B1E">
        <w:rPr>
          <w:sz w:val="24"/>
          <w:szCs w:val="24"/>
        </w:rPr>
        <w:t xml:space="preserve"> exposures to disease and illness.  </w:t>
      </w:r>
      <w:r w:rsidR="00840BF8">
        <w:rPr>
          <w:sz w:val="24"/>
          <w:szCs w:val="24"/>
        </w:rPr>
        <w:t>Because of the increased risk both staff and residents present to the health</w:t>
      </w:r>
      <w:r w:rsidR="005C664F">
        <w:rPr>
          <w:sz w:val="24"/>
          <w:szCs w:val="24"/>
        </w:rPr>
        <w:t xml:space="preserve"> </w:t>
      </w:r>
      <w:r w:rsidR="00840BF8">
        <w:rPr>
          <w:sz w:val="24"/>
          <w:szCs w:val="24"/>
        </w:rPr>
        <w:t>care workforce</w:t>
      </w:r>
      <w:r w:rsidR="00C65902">
        <w:rPr>
          <w:sz w:val="24"/>
          <w:szCs w:val="24"/>
        </w:rPr>
        <w:t xml:space="preserve">, it is critical to provide procedures related to occupational health for infection prevention and control.  </w:t>
      </w:r>
    </w:p>
    <w:p w14:paraId="5A4B2331" w14:textId="6C6804C3" w:rsidR="00023CD8" w:rsidRPr="00A42F0D" w:rsidRDefault="00023CD8" w:rsidP="004B6B13">
      <w:pPr>
        <w:rPr>
          <w:sz w:val="24"/>
          <w:szCs w:val="24"/>
        </w:rPr>
      </w:pPr>
      <w:r>
        <w:rPr>
          <w:sz w:val="24"/>
          <w:szCs w:val="24"/>
        </w:rPr>
        <w:t xml:space="preserve">Occupational health services address both infectious and non-infectious causes of illness and injury, however, this policy and procedures relates strictly to infection control.  </w:t>
      </w:r>
    </w:p>
    <w:p w14:paraId="79D895E2" w14:textId="77777777" w:rsidR="00904FA0" w:rsidRDefault="00904FA0" w:rsidP="004B6B13">
      <w:pPr>
        <w:rPr>
          <w:b/>
          <w:bCs/>
          <w:sz w:val="24"/>
          <w:szCs w:val="24"/>
          <w:u w:val="single"/>
        </w:rPr>
      </w:pPr>
    </w:p>
    <w:p w14:paraId="66861D93" w14:textId="2087190C" w:rsidR="00310C80" w:rsidRDefault="00310C80" w:rsidP="004B6B13">
      <w:pPr>
        <w:rPr>
          <w:b/>
          <w:bCs/>
          <w:sz w:val="24"/>
          <w:szCs w:val="24"/>
          <w:u w:val="single"/>
        </w:rPr>
      </w:pPr>
      <w:r w:rsidRPr="006F47A4">
        <w:rPr>
          <w:b/>
          <w:bCs/>
          <w:sz w:val="24"/>
          <w:szCs w:val="24"/>
          <w:u w:val="single"/>
        </w:rPr>
        <w:t>Procedures</w:t>
      </w:r>
    </w:p>
    <w:p w14:paraId="25EF5494" w14:textId="02AA0093" w:rsidR="00571B14" w:rsidRDefault="007F40CA" w:rsidP="008F7650">
      <w:pPr>
        <w:rPr>
          <w:sz w:val="24"/>
          <w:szCs w:val="24"/>
        </w:rPr>
      </w:pPr>
      <w:r>
        <w:rPr>
          <w:sz w:val="24"/>
          <w:szCs w:val="24"/>
          <w:u w:val="single"/>
        </w:rPr>
        <w:t>OSHA’s Blood Borne Pathogen Standards:</w:t>
      </w:r>
    </w:p>
    <w:p w14:paraId="32F3CAAB" w14:textId="08023F9F" w:rsidR="00857221" w:rsidRDefault="007F40CA" w:rsidP="00857221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OSHA’s blood borne pathogen standard prescribes safeguards to protect staff members who are occupationally exposed to blood or other potentially infectious materials.  </w:t>
      </w:r>
      <w:r w:rsidR="00857221">
        <w:rPr>
          <w:sz w:val="24"/>
          <w:szCs w:val="24"/>
        </w:rPr>
        <w:t xml:space="preserve">This standard describes actions that the provider must take to prevent occupational exposures and respond to exposures when they occur. </w:t>
      </w:r>
    </w:p>
    <w:p w14:paraId="366E125D" w14:textId="1A50B9A0" w:rsidR="00C704BA" w:rsidRDefault="00C704BA" w:rsidP="00857221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Exposure incident includes eye, mouth, other mucous membrane, non-intact skin, or parenteral contact with blood or other potentially infectious materials that results from performance of a </w:t>
      </w:r>
      <w:r w:rsidR="00FF36D8">
        <w:rPr>
          <w:sz w:val="24"/>
          <w:szCs w:val="24"/>
        </w:rPr>
        <w:t>worker’s</w:t>
      </w:r>
      <w:r>
        <w:rPr>
          <w:sz w:val="24"/>
          <w:szCs w:val="24"/>
        </w:rPr>
        <w:t xml:space="preserve"> duties.  </w:t>
      </w:r>
    </w:p>
    <w:p w14:paraId="594F70C1" w14:textId="25EDFE1A" w:rsidR="00C704BA" w:rsidRDefault="00C704BA" w:rsidP="00857221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Exposure Control Plan: </w:t>
      </w:r>
    </w:p>
    <w:p w14:paraId="3639F028" w14:textId="4791D4A5" w:rsidR="00FF36D8" w:rsidRDefault="00FF36D8" w:rsidP="00FF36D8">
      <w:pPr>
        <w:pStyle w:val="ListParagraph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Is a written plan describing </w:t>
      </w:r>
      <w:r w:rsidR="007113C6">
        <w:rPr>
          <w:sz w:val="24"/>
          <w:szCs w:val="24"/>
        </w:rPr>
        <w:t xml:space="preserve">how the provider will eliminate or minimize occupational exposures for staff. </w:t>
      </w:r>
    </w:p>
    <w:p w14:paraId="40978D24" w14:textId="19DCCC53" w:rsidR="007113C6" w:rsidRDefault="007113C6" w:rsidP="00FF36D8">
      <w:pPr>
        <w:pStyle w:val="ListParagraph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The exposure control plan must be updated or reviewed annually and reflect input from the frontline staff. </w:t>
      </w:r>
    </w:p>
    <w:p w14:paraId="46975116" w14:textId="0DC5E08B" w:rsidR="00D85A79" w:rsidRDefault="00D85A79" w:rsidP="00FF36D8">
      <w:pPr>
        <w:pStyle w:val="ListParagraph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The provider must prepare an exposure determination that contains a list of job classifications in which some workers have occupational exposure, along with a list of the tasks and procedures performed by those workers that result in their exposure. </w:t>
      </w:r>
    </w:p>
    <w:p w14:paraId="7B43EA5E" w14:textId="0B69447C" w:rsidR="002C5048" w:rsidRDefault="002C5048" w:rsidP="00FF36D8">
      <w:pPr>
        <w:pStyle w:val="ListParagraph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The provider must identify and use engineering controls to remove or reduce the risk of bloodborne pathogen exposure, such as </w:t>
      </w:r>
      <w:r w:rsidR="00454A60">
        <w:rPr>
          <w:sz w:val="24"/>
          <w:szCs w:val="24"/>
        </w:rPr>
        <w:t xml:space="preserve">identifying devices that isolate or </w:t>
      </w:r>
      <w:r w:rsidR="00454A60">
        <w:rPr>
          <w:sz w:val="24"/>
          <w:szCs w:val="24"/>
        </w:rPr>
        <w:lastRenderedPageBreak/>
        <w:t xml:space="preserve">remove the blood borne pathogen hazard from the workplace including self-sheathing needles. </w:t>
      </w:r>
    </w:p>
    <w:p w14:paraId="6075121A" w14:textId="13B8C597" w:rsidR="00CA785B" w:rsidRDefault="00CA785B" w:rsidP="00FF36D8">
      <w:pPr>
        <w:pStyle w:val="ListParagraph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The provider must identify and use workplace controls when developing the exposure control plan.  The controls including practices that reduce the possibility of exposure by changing the way a task is performed, such as handling of blood or body fluid specimens, laundry, etc. </w:t>
      </w:r>
    </w:p>
    <w:p w14:paraId="2CFE894C" w14:textId="2A74D36A" w:rsidR="00FF36D8" w:rsidRDefault="00FF36D8" w:rsidP="00857221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Post-Exposure Evaluation:</w:t>
      </w:r>
      <w:r w:rsidR="00574950">
        <w:rPr>
          <w:sz w:val="24"/>
          <w:szCs w:val="24"/>
        </w:rPr>
        <w:t xml:space="preserve"> </w:t>
      </w:r>
    </w:p>
    <w:p w14:paraId="5EDF6392" w14:textId="1B4C272B" w:rsidR="003D6681" w:rsidRDefault="003D6681" w:rsidP="003D6681">
      <w:pPr>
        <w:pStyle w:val="ListParagraph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The provider must make available a post-exposure evaluation and follow-up to any occupationally exposed worker who experiences an exposure incident.  </w:t>
      </w:r>
    </w:p>
    <w:p w14:paraId="538754D1" w14:textId="48C9EC6A" w:rsidR="003D6681" w:rsidRDefault="003D6681" w:rsidP="003D6681">
      <w:pPr>
        <w:pStyle w:val="ListParagraph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The evaluation and follow-up must be at no cost to the employee.  </w:t>
      </w:r>
    </w:p>
    <w:p w14:paraId="057F79C6" w14:textId="11E5E6C3" w:rsidR="003D6681" w:rsidRDefault="003D6681" w:rsidP="003D6681">
      <w:pPr>
        <w:pStyle w:val="ListParagraph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The evaluation must </w:t>
      </w:r>
      <w:r w:rsidR="00F95510">
        <w:rPr>
          <w:sz w:val="24"/>
          <w:szCs w:val="24"/>
        </w:rPr>
        <w:t xml:space="preserve">include offering post-exposure prophylaxis counseling and evaluation of reported illness.  This could include contracting with outside entities to provide these occupational health services. </w:t>
      </w:r>
    </w:p>
    <w:p w14:paraId="78D72085" w14:textId="76215698" w:rsidR="00A90C94" w:rsidRDefault="00A90C94" w:rsidP="003D6681">
      <w:pPr>
        <w:pStyle w:val="ListParagraph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Organizations must ensure staff know: </w:t>
      </w:r>
    </w:p>
    <w:p w14:paraId="7803FE86" w14:textId="5B5327AB" w:rsidR="00A90C94" w:rsidRDefault="00A90C94" w:rsidP="00A90C94">
      <w:pPr>
        <w:pStyle w:val="ListParagraph"/>
        <w:numPr>
          <w:ilvl w:val="2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How to recognize and immediately respond to an exposure incident. </w:t>
      </w:r>
    </w:p>
    <w:p w14:paraId="2025A1AA" w14:textId="2DD9571F" w:rsidR="00A90C94" w:rsidRDefault="00A90C94" w:rsidP="00A90C94">
      <w:pPr>
        <w:pStyle w:val="ListParagraph"/>
        <w:numPr>
          <w:ilvl w:val="2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Who to contact to report the exposure. </w:t>
      </w:r>
    </w:p>
    <w:p w14:paraId="05F0189B" w14:textId="2340EFB1" w:rsidR="00A90C94" w:rsidRDefault="00A90C94" w:rsidP="00A90C94">
      <w:pPr>
        <w:pStyle w:val="ListParagraph"/>
        <w:numPr>
          <w:ilvl w:val="2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How to access occupational health services. </w:t>
      </w:r>
    </w:p>
    <w:p w14:paraId="3C99DF89" w14:textId="231CDFFD" w:rsidR="00A90C94" w:rsidRDefault="008354B8" w:rsidP="003D6681">
      <w:pPr>
        <w:pStyle w:val="ListParagraph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Information about responding to and reporting exposure incidents should be readily accessible to staff. </w:t>
      </w:r>
    </w:p>
    <w:p w14:paraId="765B26FC" w14:textId="6EE017C3" w:rsidR="00373FDC" w:rsidRDefault="00373FDC" w:rsidP="00857221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Documentation: </w:t>
      </w:r>
    </w:p>
    <w:p w14:paraId="25FC8E33" w14:textId="503A0B79" w:rsidR="00A32A68" w:rsidRDefault="00A32A68" w:rsidP="00A32A68">
      <w:pPr>
        <w:pStyle w:val="ListParagraph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As part of an exposure incident, organizations must document route(s) of exposure and circumstances under which the exposure incident occurred. </w:t>
      </w:r>
    </w:p>
    <w:p w14:paraId="5DD6FDDE" w14:textId="6489150D" w:rsidR="00A32A68" w:rsidRDefault="00A32A68" w:rsidP="00A32A68">
      <w:pPr>
        <w:pStyle w:val="ListParagraph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This information should be used to inform </w:t>
      </w:r>
      <w:r w:rsidR="00A62755">
        <w:rPr>
          <w:sz w:val="24"/>
          <w:szCs w:val="24"/>
        </w:rPr>
        <w:t>the annual update to the exposure control plan, including actions the organization</w:t>
      </w:r>
      <w:r w:rsidR="00D60762">
        <w:rPr>
          <w:sz w:val="24"/>
          <w:szCs w:val="24"/>
        </w:rPr>
        <w:t xml:space="preserve"> takes to prevent future incidents. </w:t>
      </w:r>
    </w:p>
    <w:p w14:paraId="79F9853D" w14:textId="33E0D1DC" w:rsidR="00D60762" w:rsidRDefault="00D60762" w:rsidP="00A32A68">
      <w:pPr>
        <w:pStyle w:val="ListParagraph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This information could be a focus of the QAPI </w:t>
      </w:r>
      <w:r w:rsidR="00EB7C19">
        <w:rPr>
          <w:sz w:val="24"/>
          <w:szCs w:val="24"/>
        </w:rPr>
        <w:t xml:space="preserve">activities. </w:t>
      </w:r>
    </w:p>
    <w:p w14:paraId="441D7BFF" w14:textId="65000900" w:rsidR="008354B8" w:rsidRPr="00F85CD4" w:rsidRDefault="00A32A68" w:rsidP="00A32A68">
      <w:pPr>
        <w:rPr>
          <w:sz w:val="24"/>
          <w:szCs w:val="24"/>
          <w:u w:val="single"/>
        </w:rPr>
      </w:pPr>
      <w:r w:rsidRPr="00F85CD4">
        <w:rPr>
          <w:sz w:val="24"/>
          <w:szCs w:val="24"/>
          <w:u w:val="single"/>
        </w:rPr>
        <w:t>Employee Work Restrictions</w:t>
      </w:r>
      <w:r w:rsidR="009D778B">
        <w:rPr>
          <w:sz w:val="24"/>
          <w:szCs w:val="24"/>
          <w:u w:val="single"/>
        </w:rPr>
        <w:t>:</w:t>
      </w:r>
    </w:p>
    <w:p w14:paraId="6A392C72" w14:textId="730C70ED" w:rsidR="00EB7C19" w:rsidRDefault="00EB7C19" w:rsidP="00EB7C19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Treatment and containment of infectious illnesses among staff are important to protect residents and other staff </w:t>
      </w:r>
      <w:r w:rsidR="00C442F5">
        <w:rPr>
          <w:sz w:val="24"/>
          <w:szCs w:val="24"/>
        </w:rPr>
        <w:t xml:space="preserve">from pathogen exposure. </w:t>
      </w:r>
    </w:p>
    <w:p w14:paraId="3F5535F3" w14:textId="186F9D7E" w:rsidR="00C442F5" w:rsidRDefault="00C442F5" w:rsidP="00EB7C19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Organizations should have policies and procedures addressing work restrictions and discouraging “presenteeism”. </w:t>
      </w:r>
    </w:p>
    <w:p w14:paraId="0CF99EA1" w14:textId="505BF4D3" w:rsidR="007931FE" w:rsidRDefault="007931FE" w:rsidP="00EB7C19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Policies and </w:t>
      </w:r>
      <w:r w:rsidR="001C422F">
        <w:rPr>
          <w:sz w:val="24"/>
          <w:szCs w:val="24"/>
        </w:rPr>
        <w:t>p</w:t>
      </w:r>
      <w:r>
        <w:rPr>
          <w:sz w:val="24"/>
          <w:szCs w:val="24"/>
        </w:rPr>
        <w:t xml:space="preserve">rocedures should exclude potentially infectious staff from the workplace or resident contact and prevent susceptible staff from caring for infectious residents when </w:t>
      </w:r>
      <w:r w:rsidR="001C422F">
        <w:rPr>
          <w:sz w:val="24"/>
          <w:szCs w:val="24"/>
        </w:rPr>
        <w:t xml:space="preserve">immune staff are available.  </w:t>
      </w:r>
    </w:p>
    <w:p w14:paraId="7335D2C3" w14:textId="294AB1E0" w:rsidR="001C422F" w:rsidRDefault="001C422F" w:rsidP="00EB7C19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Policies and procedures should be designed to encourage staff to report illnesses and exposures, should not penalize staff with loss of wages</w:t>
      </w:r>
      <w:r w:rsidR="00501E29">
        <w:rPr>
          <w:sz w:val="24"/>
          <w:szCs w:val="24"/>
        </w:rPr>
        <w:t xml:space="preserve">, </w:t>
      </w:r>
      <w:r w:rsidR="009D778B">
        <w:rPr>
          <w:sz w:val="24"/>
          <w:szCs w:val="24"/>
        </w:rPr>
        <w:t>benefits,</w:t>
      </w:r>
      <w:r w:rsidR="00501E29">
        <w:rPr>
          <w:sz w:val="24"/>
          <w:szCs w:val="24"/>
        </w:rPr>
        <w:t xml:space="preserve"> or job status.  </w:t>
      </w:r>
    </w:p>
    <w:p w14:paraId="6C028ED9" w14:textId="6694FA8F" w:rsidR="00501E29" w:rsidRDefault="00501E29" w:rsidP="00EB7C19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Staff should know which infections or symptoms may warrant exclusion and where to report illnesses. </w:t>
      </w:r>
    </w:p>
    <w:p w14:paraId="7C5D3E0D" w14:textId="244F463B" w:rsidR="00501E29" w:rsidRDefault="00501E29" w:rsidP="00EB7C19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 support work restriction policies, organization administrators should ensure adequate resources to address potential staff shortages. </w:t>
      </w:r>
    </w:p>
    <w:p w14:paraId="104616BC" w14:textId="7F459D2A" w:rsidR="00103435" w:rsidRDefault="00103435" w:rsidP="00EB7C19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Organizations should ensure that all contracted staff have policies and procedures as well to conform with expectations. </w:t>
      </w:r>
    </w:p>
    <w:p w14:paraId="2CAB5C8E" w14:textId="7342EFF1" w:rsidR="00103435" w:rsidRPr="00F85CD4" w:rsidRDefault="00103435" w:rsidP="00103435">
      <w:pPr>
        <w:rPr>
          <w:sz w:val="24"/>
          <w:szCs w:val="24"/>
          <w:u w:val="single"/>
        </w:rPr>
      </w:pPr>
      <w:r w:rsidRPr="00F85CD4">
        <w:rPr>
          <w:sz w:val="24"/>
          <w:szCs w:val="24"/>
          <w:u w:val="single"/>
        </w:rPr>
        <w:t xml:space="preserve">Vaccination: </w:t>
      </w:r>
    </w:p>
    <w:p w14:paraId="69FBD88D" w14:textId="00F5A512" w:rsidR="00103435" w:rsidRDefault="005579C5" w:rsidP="00103435">
      <w:pPr>
        <w:rPr>
          <w:sz w:val="24"/>
          <w:szCs w:val="24"/>
        </w:rPr>
      </w:pPr>
      <w:r>
        <w:rPr>
          <w:sz w:val="24"/>
          <w:szCs w:val="24"/>
        </w:rPr>
        <w:t xml:space="preserve">See additional policies and procedures related to Influenza, Pneumonia and COVID-19 vaccination. </w:t>
      </w:r>
    </w:p>
    <w:p w14:paraId="52EF6942" w14:textId="77777777" w:rsidR="00F85CD4" w:rsidRPr="00103435" w:rsidRDefault="00F85CD4" w:rsidP="00103435">
      <w:pPr>
        <w:rPr>
          <w:sz w:val="24"/>
          <w:szCs w:val="24"/>
        </w:rPr>
      </w:pPr>
    </w:p>
    <w:p w14:paraId="25182DF7" w14:textId="2546BDE2" w:rsidR="007C011D" w:rsidRPr="008F7650" w:rsidRDefault="007C011D" w:rsidP="008F7650">
      <w:pPr>
        <w:rPr>
          <w:b/>
          <w:bCs/>
          <w:u w:val="single"/>
        </w:rPr>
      </w:pPr>
      <w:r w:rsidRPr="008F7650">
        <w:rPr>
          <w:b/>
          <w:bCs/>
          <w:sz w:val="24"/>
          <w:szCs w:val="24"/>
          <w:u w:val="single"/>
        </w:rPr>
        <w:t>Resources</w:t>
      </w:r>
    </w:p>
    <w:p w14:paraId="2BA8172D" w14:textId="77777777" w:rsidR="007C011D" w:rsidRPr="008624A0" w:rsidRDefault="007C011D" w:rsidP="007C011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CMS. (2017, Nov. 2). </w:t>
      </w:r>
      <w:r w:rsidRPr="00BC56F1">
        <w:rPr>
          <w:i/>
          <w:iCs/>
          <w:sz w:val="24"/>
          <w:szCs w:val="24"/>
        </w:rPr>
        <w:t>State Operations Manual, Appendix PP – Guidance to Surveyors for Long Term Care Facilities, F880</w:t>
      </w:r>
      <w:r>
        <w:rPr>
          <w:sz w:val="24"/>
          <w:szCs w:val="24"/>
        </w:rPr>
        <w:t xml:space="preserve">. </w:t>
      </w:r>
      <w:hyperlink r:id="rId11" w:history="1">
        <w:r w:rsidRPr="004317CC">
          <w:rPr>
            <w:rStyle w:val="Hyperlink"/>
            <w:color w:val="007DB1"/>
            <w:sz w:val="24"/>
            <w:szCs w:val="24"/>
          </w:rPr>
          <w:t>https://www.cms.gov/Medicare/Provider-Enrollment-and-Certification/GuidanceforLawsAndRegulations/Downloads/Appendix-PP-State-Operations-Manual.pdf</w:t>
        </w:r>
      </w:hyperlink>
      <w:r>
        <w:rPr>
          <w:sz w:val="24"/>
          <w:szCs w:val="24"/>
        </w:rPr>
        <w:t xml:space="preserve"> </w:t>
      </w:r>
    </w:p>
    <w:p w14:paraId="525B17B4" w14:textId="4BD403C9" w:rsidR="006E3919" w:rsidRDefault="007C011D" w:rsidP="007C011D">
      <w:pPr>
        <w:ind w:left="720" w:hanging="720"/>
        <w:rPr>
          <w:rStyle w:val="Hyperlink"/>
          <w:color w:val="007DB1"/>
          <w:sz w:val="24"/>
          <w:szCs w:val="24"/>
        </w:rPr>
      </w:pPr>
      <w:r>
        <w:rPr>
          <w:sz w:val="24"/>
          <w:szCs w:val="24"/>
        </w:rPr>
        <w:t xml:space="preserve">CDC. (2020, June 10). </w:t>
      </w:r>
      <w:r w:rsidRPr="00BC756F">
        <w:rPr>
          <w:i/>
          <w:iCs/>
          <w:sz w:val="24"/>
          <w:szCs w:val="24"/>
        </w:rPr>
        <w:t>Infection Prevention Training | LTCF</w:t>
      </w:r>
      <w:r>
        <w:rPr>
          <w:sz w:val="24"/>
          <w:szCs w:val="24"/>
        </w:rPr>
        <w:t>.</w:t>
      </w:r>
      <w:r w:rsidRPr="0091661D">
        <w:rPr>
          <w:sz w:val="24"/>
          <w:szCs w:val="24"/>
        </w:rPr>
        <w:t xml:space="preserve"> </w:t>
      </w:r>
      <w:hyperlink r:id="rId12" w:history="1">
        <w:r w:rsidRPr="00BC756F">
          <w:rPr>
            <w:rStyle w:val="Hyperlink"/>
            <w:color w:val="007DB1"/>
            <w:sz w:val="24"/>
            <w:szCs w:val="24"/>
          </w:rPr>
          <w:t>https://www.cdc.gov/longtermcare/training.html</w:t>
        </w:r>
      </w:hyperlink>
    </w:p>
    <w:p w14:paraId="2E9B37EB" w14:textId="77777777" w:rsidR="007B0D81" w:rsidRPr="007C011D" w:rsidRDefault="007B0D81" w:rsidP="007C011D">
      <w:pPr>
        <w:ind w:left="720" w:hanging="720"/>
        <w:rPr>
          <w:color w:val="0000FF"/>
          <w:sz w:val="24"/>
          <w:szCs w:val="24"/>
          <w:u w:val="single"/>
        </w:rPr>
      </w:pPr>
    </w:p>
    <w:sectPr w:rsidR="007B0D81" w:rsidRPr="007C011D" w:rsidSect="001848FA">
      <w:footerReference w:type="default" r:id="rId13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ADC8" w14:textId="77777777" w:rsidR="00A34FC5" w:rsidRDefault="00A34FC5" w:rsidP="00076145">
      <w:pPr>
        <w:spacing w:after="0" w:line="240" w:lineRule="auto"/>
      </w:pPr>
      <w:r>
        <w:separator/>
      </w:r>
    </w:p>
  </w:endnote>
  <w:endnote w:type="continuationSeparator" w:id="0">
    <w:p w14:paraId="7805DCD1" w14:textId="77777777" w:rsidR="00A34FC5" w:rsidRDefault="00A34FC5" w:rsidP="0007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6185" w14:textId="4D6F81A0" w:rsidR="001848FA" w:rsidRPr="001848FA" w:rsidRDefault="001848FA" w:rsidP="001848F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E681" w14:textId="77777777" w:rsidR="00A34FC5" w:rsidRDefault="00A34FC5" w:rsidP="00076145">
      <w:pPr>
        <w:spacing w:after="0" w:line="240" w:lineRule="auto"/>
      </w:pPr>
      <w:r>
        <w:separator/>
      </w:r>
    </w:p>
  </w:footnote>
  <w:footnote w:type="continuationSeparator" w:id="0">
    <w:p w14:paraId="3DFDF2ED" w14:textId="77777777" w:rsidR="00A34FC5" w:rsidRDefault="00A34FC5" w:rsidP="0007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D74"/>
    <w:multiLevelType w:val="hybridMultilevel"/>
    <w:tmpl w:val="397E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1CD"/>
    <w:multiLevelType w:val="hybridMultilevel"/>
    <w:tmpl w:val="5222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3E99"/>
    <w:multiLevelType w:val="hybridMultilevel"/>
    <w:tmpl w:val="536814AE"/>
    <w:lvl w:ilvl="0" w:tplc="04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" w15:restartNumberingAfterBreak="0">
    <w:nsid w:val="089C6C78"/>
    <w:multiLevelType w:val="hybridMultilevel"/>
    <w:tmpl w:val="2272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C3500"/>
    <w:multiLevelType w:val="hybridMultilevel"/>
    <w:tmpl w:val="E614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10DD9"/>
    <w:multiLevelType w:val="hybridMultilevel"/>
    <w:tmpl w:val="EE84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40D10"/>
    <w:multiLevelType w:val="hybridMultilevel"/>
    <w:tmpl w:val="8B2A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B02D8"/>
    <w:multiLevelType w:val="hybridMultilevel"/>
    <w:tmpl w:val="9A76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13AA"/>
    <w:multiLevelType w:val="hybridMultilevel"/>
    <w:tmpl w:val="4A72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3CE9"/>
    <w:multiLevelType w:val="hybridMultilevel"/>
    <w:tmpl w:val="EB50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4144"/>
    <w:multiLevelType w:val="hybridMultilevel"/>
    <w:tmpl w:val="1C46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B0D9B"/>
    <w:multiLevelType w:val="hybridMultilevel"/>
    <w:tmpl w:val="559E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51209"/>
    <w:multiLevelType w:val="hybridMultilevel"/>
    <w:tmpl w:val="3B2A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A57E8"/>
    <w:multiLevelType w:val="hybridMultilevel"/>
    <w:tmpl w:val="71D2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832F3"/>
    <w:multiLevelType w:val="hybridMultilevel"/>
    <w:tmpl w:val="B026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E66C6"/>
    <w:multiLevelType w:val="hybridMultilevel"/>
    <w:tmpl w:val="002AB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020E2"/>
    <w:multiLevelType w:val="hybridMultilevel"/>
    <w:tmpl w:val="553C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7F88"/>
    <w:multiLevelType w:val="hybridMultilevel"/>
    <w:tmpl w:val="C7349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F28AA"/>
    <w:multiLevelType w:val="hybridMultilevel"/>
    <w:tmpl w:val="7498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7CB0"/>
    <w:multiLevelType w:val="hybridMultilevel"/>
    <w:tmpl w:val="9C9EE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72421"/>
    <w:multiLevelType w:val="hybridMultilevel"/>
    <w:tmpl w:val="712E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710ED"/>
    <w:multiLevelType w:val="hybridMultilevel"/>
    <w:tmpl w:val="0AEE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740F6"/>
    <w:multiLevelType w:val="hybridMultilevel"/>
    <w:tmpl w:val="D3702E22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 w15:restartNumberingAfterBreak="0">
    <w:nsid w:val="48216BB1"/>
    <w:multiLevelType w:val="hybridMultilevel"/>
    <w:tmpl w:val="46EC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F043F"/>
    <w:multiLevelType w:val="hybridMultilevel"/>
    <w:tmpl w:val="3934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85871"/>
    <w:multiLevelType w:val="hybridMultilevel"/>
    <w:tmpl w:val="3F7A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231F"/>
    <w:multiLevelType w:val="hybridMultilevel"/>
    <w:tmpl w:val="1D40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766FD"/>
    <w:multiLevelType w:val="hybridMultilevel"/>
    <w:tmpl w:val="79B6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90876"/>
    <w:multiLevelType w:val="hybridMultilevel"/>
    <w:tmpl w:val="9FE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667B9"/>
    <w:multiLevelType w:val="hybridMultilevel"/>
    <w:tmpl w:val="D3B0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30F90"/>
    <w:multiLevelType w:val="hybridMultilevel"/>
    <w:tmpl w:val="949A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0588A"/>
    <w:multiLevelType w:val="hybridMultilevel"/>
    <w:tmpl w:val="CC60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D6689"/>
    <w:multiLevelType w:val="hybridMultilevel"/>
    <w:tmpl w:val="E136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B7157"/>
    <w:multiLevelType w:val="hybridMultilevel"/>
    <w:tmpl w:val="C4661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2"/>
  </w:num>
  <w:num w:numId="4">
    <w:abstractNumId w:val="29"/>
  </w:num>
  <w:num w:numId="5">
    <w:abstractNumId w:val="30"/>
  </w:num>
  <w:num w:numId="6">
    <w:abstractNumId w:val="6"/>
  </w:num>
  <w:num w:numId="7">
    <w:abstractNumId w:val="0"/>
  </w:num>
  <w:num w:numId="8">
    <w:abstractNumId w:val="16"/>
  </w:num>
  <w:num w:numId="9">
    <w:abstractNumId w:val="21"/>
  </w:num>
  <w:num w:numId="10">
    <w:abstractNumId w:val="32"/>
  </w:num>
  <w:num w:numId="11">
    <w:abstractNumId w:val="9"/>
  </w:num>
  <w:num w:numId="12">
    <w:abstractNumId w:val="1"/>
  </w:num>
  <w:num w:numId="13">
    <w:abstractNumId w:val="20"/>
  </w:num>
  <w:num w:numId="14">
    <w:abstractNumId w:val="28"/>
  </w:num>
  <w:num w:numId="15">
    <w:abstractNumId w:val="14"/>
  </w:num>
  <w:num w:numId="16">
    <w:abstractNumId w:val="33"/>
  </w:num>
  <w:num w:numId="17">
    <w:abstractNumId w:val="3"/>
  </w:num>
  <w:num w:numId="18">
    <w:abstractNumId w:val="31"/>
  </w:num>
  <w:num w:numId="19">
    <w:abstractNumId w:val="23"/>
  </w:num>
  <w:num w:numId="20">
    <w:abstractNumId w:val="5"/>
  </w:num>
  <w:num w:numId="21">
    <w:abstractNumId w:val="11"/>
  </w:num>
  <w:num w:numId="22">
    <w:abstractNumId w:val="7"/>
  </w:num>
  <w:num w:numId="23">
    <w:abstractNumId w:val="12"/>
  </w:num>
  <w:num w:numId="24">
    <w:abstractNumId w:val="10"/>
  </w:num>
  <w:num w:numId="25">
    <w:abstractNumId w:val="4"/>
  </w:num>
  <w:num w:numId="26">
    <w:abstractNumId w:val="24"/>
  </w:num>
  <w:num w:numId="27">
    <w:abstractNumId w:val="27"/>
  </w:num>
  <w:num w:numId="28">
    <w:abstractNumId w:val="17"/>
  </w:num>
  <w:num w:numId="29">
    <w:abstractNumId w:val="8"/>
  </w:num>
  <w:num w:numId="30">
    <w:abstractNumId w:val="26"/>
  </w:num>
  <w:num w:numId="31">
    <w:abstractNumId w:val="18"/>
  </w:num>
  <w:num w:numId="32">
    <w:abstractNumId w:val="15"/>
  </w:num>
  <w:num w:numId="33">
    <w:abstractNumId w:val="1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45"/>
    <w:rsid w:val="00003DFF"/>
    <w:rsid w:val="000118A3"/>
    <w:rsid w:val="00015410"/>
    <w:rsid w:val="00023CD8"/>
    <w:rsid w:val="00031061"/>
    <w:rsid w:val="00034BF9"/>
    <w:rsid w:val="00035519"/>
    <w:rsid w:val="00051D3E"/>
    <w:rsid w:val="00056C55"/>
    <w:rsid w:val="00065C8C"/>
    <w:rsid w:val="00076145"/>
    <w:rsid w:val="00077DAE"/>
    <w:rsid w:val="00081017"/>
    <w:rsid w:val="00084D7A"/>
    <w:rsid w:val="00087266"/>
    <w:rsid w:val="000909F8"/>
    <w:rsid w:val="00097F40"/>
    <w:rsid w:val="000A750B"/>
    <w:rsid w:val="000B0542"/>
    <w:rsid w:val="000B0637"/>
    <w:rsid w:val="000C4D7B"/>
    <w:rsid w:val="000C5A13"/>
    <w:rsid w:val="000D12E8"/>
    <w:rsid w:val="000D213F"/>
    <w:rsid w:val="000D7053"/>
    <w:rsid w:val="000E0441"/>
    <w:rsid w:val="000E219D"/>
    <w:rsid w:val="000E3C00"/>
    <w:rsid w:val="000E7350"/>
    <w:rsid w:val="000E7E65"/>
    <w:rsid w:val="000F33AF"/>
    <w:rsid w:val="000F6A97"/>
    <w:rsid w:val="00102E37"/>
    <w:rsid w:val="00103435"/>
    <w:rsid w:val="00105862"/>
    <w:rsid w:val="00107799"/>
    <w:rsid w:val="00110814"/>
    <w:rsid w:val="00113BDE"/>
    <w:rsid w:val="00127ED1"/>
    <w:rsid w:val="00135632"/>
    <w:rsid w:val="001367F4"/>
    <w:rsid w:val="00137593"/>
    <w:rsid w:val="00140B35"/>
    <w:rsid w:val="00142793"/>
    <w:rsid w:val="0014737F"/>
    <w:rsid w:val="001577B7"/>
    <w:rsid w:val="001655CB"/>
    <w:rsid w:val="00166EBC"/>
    <w:rsid w:val="001672E8"/>
    <w:rsid w:val="0017249E"/>
    <w:rsid w:val="00172B44"/>
    <w:rsid w:val="001751EF"/>
    <w:rsid w:val="00180047"/>
    <w:rsid w:val="001831A1"/>
    <w:rsid w:val="001848FA"/>
    <w:rsid w:val="001A4179"/>
    <w:rsid w:val="001A794C"/>
    <w:rsid w:val="001C422F"/>
    <w:rsid w:val="001C5050"/>
    <w:rsid w:val="001D226C"/>
    <w:rsid w:val="001D2FCC"/>
    <w:rsid w:val="001D546F"/>
    <w:rsid w:val="001E0029"/>
    <w:rsid w:val="001E3198"/>
    <w:rsid w:val="001E500D"/>
    <w:rsid w:val="001F06AC"/>
    <w:rsid w:val="002076A5"/>
    <w:rsid w:val="00230AC3"/>
    <w:rsid w:val="00250D94"/>
    <w:rsid w:val="00257EA1"/>
    <w:rsid w:val="00260CA7"/>
    <w:rsid w:val="00271E43"/>
    <w:rsid w:val="00272D84"/>
    <w:rsid w:val="00273DBC"/>
    <w:rsid w:val="00280C7F"/>
    <w:rsid w:val="00282C9D"/>
    <w:rsid w:val="00296E2C"/>
    <w:rsid w:val="002B401B"/>
    <w:rsid w:val="002B6F00"/>
    <w:rsid w:val="002C5048"/>
    <w:rsid w:val="002C5469"/>
    <w:rsid w:val="002C6F3D"/>
    <w:rsid w:val="002E195C"/>
    <w:rsid w:val="002E6900"/>
    <w:rsid w:val="002F219A"/>
    <w:rsid w:val="00305C0B"/>
    <w:rsid w:val="003073E5"/>
    <w:rsid w:val="0031082D"/>
    <w:rsid w:val="00310C80"/>
    <w:rsid w:val="003130F4"/>
    <w:rsid w:val="00313750"/>
    <w:rsid w:val="00325BD3"/>
    <w:rsid w:val="00331F56"/>
    <w:rsid w:val="00332397"/>
    <w:rsid w:val="003343F0"/>
    <w:rsid w:val="00335015"/>
    <w:rsid w:val="00343010"/>
    <w:rsid w:val="00346AE0"/>
    <w:rsid w:val="00350C71"/>
    <w:rsid w:val="00351282"/>
    <w:rsid w:val="00354A46"/>
    <w:rsid w:val="00361AF2"/>
    <w:rsid w:val="00373FDC"/>
    <w:rsid w:val="003815E9"/>
    <w:rsid w:val="00393835"/>
    <w:rsid w:val="003950F2"/>
    <w:rsid w:val="003A0034"/>
    <w:rsid w:val="003A3458"/>
    <w:rsid w:val="003A3E2F"/>
    <w:rsid w:val="003A4568"/>
    <w:rsid w:val="003B0C4C"/>
    <w:rsid w:val="003C5E1A"/>
    <w:rsid w:val="003C6CAA"/>
    <w:rsid w:val="003D005A"/>
    <w:rsid w:val="003D3EA6"/>
    <w:rsid w:val="003D6681"/>
    <w:rsid w:val="003E2B66"/>
    <w:rsid w:val="003F5E94"/>
    <w:rsid w:val="0040063F"/>
    <w:rsid w:val="00400937"/>
    <w:rsid w:val="00412844"/>
    <w:rsid w:val="00414562"/>
    <w:rsid w:val="00414EA5"/>
    <w:rsid w:val="004232F0"/>
    <w:rsid w:val="004348F1"/>
    <w:rsid w:val="00453807"/>
    <w:rsid w:val="00454A60"/>
    <w:rsid w:val="00463D1D"/>
    <w:rsid w:val="00464FF1"/>
    <w:rsid w:val="00467307"/>
    <w:rsid w:val="00472022"/>
    <w:rsid w:val="0047290E"/>
    <w:rsid w:val="00475C60"/>
    <w:rsid w:val="004766E1"/>
    <w:rsid w:val="00477AE2"/>
    <w:rsid w:val="00480DA1"/>
    <w:rsid w:val="00485C4E"/>
    <w:rsid w:val="004A0352"/>
    <w:rsid w:val="004A1EF1"/>
    <w:rsid w:val="004B09A3"/>
    <w:rsid w:val="004B1835"/>
    <w:rsid w:val="004B3029"/>
    <w:rsid w:val="004B5ECF"/>
    <w:rsid w:val="004B6B13"/>
    <w:rsid w:val="004C058D"/>
    <w:rsid w:val="004C3260"/>
    <w:rsid w:val="004D376B"/>
    <w:rsid w:val="004E4CDE"/>
    <w:rsid w:val="004E582F"/>
    <w:rsid w:val="004F0971"/>
    <w:rsid w:val="004F6B1D"/>
    <w:rsid w:val="00501E29"/>
    <w:rsid w:val="00523057"/>
    <w:rsid w:val="00523460"/>
    <w:rsid w:val="00524C0D"/>
    <w:rsid w:val="005341B2"/>
    <w:rsid w:val="00537F4C"/>
    <w:rsid w:val="00544BD4"/>
    <w:rsid w:val="00547153"/>
    <w:rsid w:val="00551DCB"/>
    <w:rsid w:val="005579C5"/>
    <w:rsid w:val="00557CFC"/>
    <w:rsid w:val="00571B14"/>
    <w:rsid w:val="00573683"/>
    <w:rsid w:val="00574950"/>
    <w:rsid w:val="0057656E"/>
    <w:rsid w:val="00584E02"/>
    <w:rsid w:val="005A39DD"/>
    <w:rsid w:val="005B0C80"/>
    <w:rsid w:val="005B1BCC"/>
    <w:rsid w:val="005C0CDA"/>
    <w:rsid w:val="005C2F37"/>
    <w:rsid w:val="005C664F"/>
    <w:rsid w:val="005D33ED"/>
    <w:rsid w:val="005D6827"/>
    <w:rsid w:val="005D6E5A"/>
    <w:rsid w:val="005E2843"/>
    <w:rsid w:val="005E38F4"/>
    <w:rsid w:val="005E434A"/>
    <w:rsid w:val="005F359D"/>
    <w:rsid w:val="00614B74"/>
    <w:rsid w:val="006151A8"/>
    <w:rsid w:val="00622366"/>
    <w:rsid w:val="0062476E"/>
    <w:rsid w:val="006275FD"/>
    <w:rsid w:val="0063667F"/>
    <w:rsid w:val="00637CB6"/>
    <w:rsid w:val="00641491"/>
    <w:rsid w:val="00656539"/>
    <w:rsid w:val="006663E3"/>
    <w:rsid w:val="006728C3"/>
    <w:rsid w:val="00684A9F"/>
    <w:rsid w:val="0068770D"/>
    <w:rsid w:val="00690626"/>
    <w:rsid w:val="00694498"/>
    <w:rsid w:val="006958A6"/>
    <w:rsid w:val="0069716F"/>
    <w:rsid w:val="006A5416"/>
    <w:rsid w:val="006A729F"/>
    <w:rsid w:val="006A7A4D"/>
    <w:rsid w:val="006B0E50"/>
    <w:rsid w:val="006B2164"/>
    <w:rsid w:val="006B2DBD"/>
    <w:rsid w:val="006B3DB7"/>
    <w:rsid w:val="006D1B3E"/>
    <w:rsid w:val="006D525C"/>
    <w:rsid w:val="006E3919"/>
    <w:rsid w:val="006F05A7"/>
    <w:rsid w:val="006F0647"/>
    <w:rsid w:val="006F47A4"/>
    <w:rsid w:val="006F49D2"/>
    <w:rsid w:val="006F52C6"/>
    <w:rsid w:val="007113C6"/>
    <w:rsid w:val="007135A1"/>
    <w:rsid w:val="007136AC"/>
    <w:rsid w:val="00713BC6"/>
    <w:rsid w:val="007215F6"/>
    <w:rsid w:val="0073046A"/>
    <w:rsid w:val="00735E06"/>
    <w:rsid w:val="007372DF"/>
    <w:rsid w:val="007459A9"/>
    <w:rsid w:val="00746D6B"/>
    <w:rsid w:val="00754B72"/>
    <w:rsid w:val="007743EE"/>
    <w:rsid w:val="00775063"/>
    <w:rsid w:val="00776966"/>
    <w:rsid w:val="007931FE"/>
    <w:rsid w:val="00795286"/>
    <w:rsid w:val="0079713F"/>
    <w:rsid w:val="007A6859"/>
    <w:rsid w:val="007B0554"/>
    <w:rsid w:val="007B0D81"/>
    <w:rsid w:val="007B6686"/>
    <w:rsid w:val="007B6E8D"/>
    <w:rsid w:val="007C011D"/>
    <w:rsid w:val="007C27B7"/>
    <w:rsid w:val="007C7B67"/>
    <w:rsid w:val="007D4791"/>
    <w:rsid w:val="007E043E"/>
    <w:rsid w:val="007E381D"/>
    <w:rsid w:val="007E4481"/>
    <w:rsid w:val="007E62CB"/>
    <w:rsid w:val="007E6C99"/>
    <w:rsid w:val="007F08EC"/>
    <w:rsid w:val="007F1440"/>
    <w:rsid w:val="007F40CA"/>
    <w:rsid w:val="007F4D42"/>
    <w:rsid w:val="008249A0"/>
    <w:rsid w:val="008354B8"/>
    <w:rsid w:val="00840BF8"/>
    <w:rsid w:val="00840D72"/>
    <w:rsid w:val="0084191F"/>
    <w:rsid w:val="0084538D"/>
    <w:rsid w:val="00857221"/>
    <w:rsid w:val="00857F7B"/>
    <w:rsid w:val="00866339"/>
    <w:rsid w:val="00866BDF"/>
    <w:rsid w:val="00871C72"/>
    <w:rsid w:val="0088449A"/>
    <w:rsid w:val="00892B45"/>
    <w:rsid w:val="00892FF3"/>
    <w:rsid w:val="00897FDE"/>
    <w:rsid w:val="008A2505"/>
    <w:rsid w:val="008B0AD0"/>
    <w:rsid w:val="008B4FAC"/>
    <w:rsid w:val="008D016D"/>
    <w:rsid w:val="008D3534"/>
    <w:rsid w:val="008E6C47"/>
    <w:rsid w:val="008F7650"/>
    <w:rsid w:val="00904FA0"/>
    <w:rsid w:val="009127FA"/>
    <w:rsid w:val="0092641E"/>
    <w:rsid w:val="00934F56"/>
    <w:rsid w:val="009424C4"/>
    <w:rsid w:val="0095701E"/>
    <w:rsid w:val="00965C93"/>
    <w:rsid w:val="0096754F"/>
    <w:rsid w:val="00996CF0"/>
    <w:rsid w:val="009A3FE6"/>
    <w:rsid w:val="009B74D0"/>
    <w:rsid w:val="009D2D36"/>
    <w:rsid w:val="009D61BE"/>
    <w:rsid w:val="009D778B"/>
    <w:rsid w:val="009E42BE"/>
    <w:rsid w:val="009E49E3"/>
    <w:rsid w:val="009F622E"/>
    <w:rsid w:val="00A00573"/>
    <w:rsid w:val="00A06CBA"/>
    <w:rsid w:val="00A07685"/>
    <w:rsid w:val="00A1288F"/>
    <w:rsid w:val="00A21913"/>
    <w:rsid w:val="00A24E39"/>
    <w:rsid w:val="00A31EFD"/>
    <w:rsid w:val="00A32A68"/>
    <w:rsid w:val="00A3458E"/>
    <w:rsid w:val="00A34FC5"/>
    <w:rsid w:val="00A41320"/>
    <w:rsid w:val="00A41512"/>
    <w:rsid w:val="00A42F0D"/>
    <w:rsid w:val="00A53B0C"/>
    <w:rsid w:val="00A6038F"/>
    <w:rsid w:val="00A62106"/>
    <w:rsid w:val="00A62755"/>
    <w:rsid w:val="00A62EF7"/>
    <w:rsid w:val="00A6529A"/>
    <w:rsid w:val="00A74771"/>
    <w:rsid w:val="00A752F4"/>
    <w:rsid w:val="00A76428"/>
    <w:rsid w:val="00A8669F"/>
    <w:rsid w:val="00A90257"/>
    <w:rsid w:val="00A90C94"/>
    <w:rsid w:val="00A93D89"/>
    <w:rsid w:val="00A964A5"/>
    <w:rsid w:val="00AA3887"/>
    <w:rsid w:val="00AA4E1A"/>
    <w:rsid w:val="00AB2E8C"/>
    <w:rsid w:val="00AD4BA8"/>
    <w:rsid w:val="00AF0520"/>
    <w:rsid w:val="00AF12F6"/>
    <w:rsid w:val="00B00FF4"/>
    <w:rsid w:val="00B06631"/>
    <w:rsid w:val="00B16AC6"/>
    <w:rsid w:val="00B17506"/>
    <w:rsid w:val="00B33211"/>
    <w:rsid w:val="00B34E1D"/>
    <w:rsid w:val="00B373DD"/>
    <w:rsid w:val="00B4770D"/>
    <w:rsid w:val="00B546D9"/>
    <w:rsid w:val="00B57E38"/>
    <w:rsid w:val="00B63510"/>
    <w:rsid w:val="00B63562"/>
    <w:rsid w:val="00B71E02"/>
    <w:rsid w:val="00B84B39"/>
    <w:rsid w:val="00B9155A"/>
    <w:rsid w:val="00BA3892"/>
    <w:rsid w:val="00BA541F"/>
    <w:rsid w:val="00BB0A16"/>
    <w:rsid w:val="00BB6DB7"/>
    <w:rsid w:val="00BD2DE6"/>
    <w:rsid w:val="00BD5D0B"/>
    <w:rsid w:val="00BD6BB3"/>
    <w:rsid w:val="00BF1D17"/>
    <w:rsid w:val="00C01726"/>
    <w:rsid w:val="00C10BFE"/>
    <w:rsid w:val="00C13348"/>
    <w:rsid w:val="00C14405"/>
    <w:rsid w:val="00C15A2E"/>
    <w:rsid w:val="00C425A6"/>
    <w:rsid w:val="00C442F5"/>
    <w:rsid w:val="00C474E1"/>
    <w:rsid w:val="00C47C94"/>
    <w:rsid w:val="00C55456"/>
    <w:rsid w:val="00C65902"/>
    <w:rsid w:val="00C704BA"/>
    <w:rsid w:val="00C77AC5"/>
    <w:rsid w:val="00C905DC"/>
    <w:rsid w:val="00C90DF2"/>
    <w:rsid w:val="00C94CB4"/>
    <w:rsid w:val="00CA216D"/>
    <w:rsid w:val="00CA785B"/>
    <w:rsid w:val="00CB22A7"/>
    <w:rsid w:val="00CB3946"/>
    <w:rsid w:val="00CD2F7B"/>
    <w:rsid w:val="00CD722E"/>
    <w:rsid w:val="00CE76AD"/>
    <w:rsid w:val="00CE7897"/>
    <w:rsid w:val="00CF005C"/>
    <w:rsid w:val="00D015C1"/>
    <w:rsid w:val="00D11296"/>
    <w:rsid w:val="00D21932"/>
    <w:rsid w:val="00D25ADF"/>
    <w:rsid w:val="00D30357"/>
    <w:rsid w:val="00D5211A"/>
    <w:rsid w:val="00D54BA5"/>
    <w:rsid w:val="00D60762"/>
    <w:rsid w:val="00D62FB7"/>
    <w:rsid w:val="00D71951"/>
    <w:rsid w:val="00D71CFC"/>
    <w:rsid w:val="00D73104"/>
    <w:rsid w:val="00D823C3"/>
    <w:rsid w:val="00D8440F"/>
    <w:rsid w:val="00D85A79"/>
    <w:rsid w:val="00D8766C"/>
    <w:rsid w:val="00DA5859"/>
    <w:rsid w:val="00DA7B1E"/>
    <w:rsid w:val="00DB5FB6"/>
    <w:rsid w:val="00DC22DF"/>
    <w:rsid w:val="00DC5937"/>
    <w:rsid w:val="00DE5158"/>
    <w:rsid w:val="00DF7304"/>
    <w:rsid w:val="00E000F3"/>
    <w:rsid w:val="00E01B4E"/>
    <w:rsid w:val="00E112FC"/>
    <w:rsid w:val="00E14010"/>
    <w:rsid w:val="00E14E44"/>
    <w:rsid w:val="00E2187D"/>
    <w:rsid w:val="00E22090"/>
    <w:rsid w:val="00E227D4"/>
    <w:rsid w:val="00E27EC1"/>
    <w:rsid w:val="00E467E9"/>
    <w:rsid w:val="00E50CEE"/>
    <w:rsid w:val="00E515E2"/>
    <w:rsid w:val="00E54F8D"/>
    <w:rsid w:val="00E64843"/>
    <w:rsid w:val="00E74E8D"/>
    <w:rsid w:val="00E77BBE"/>
    <w:rsid w:val="00E81A83"/>
    <w:rsid w:val="00E84D7E"/>
    <w:rsid w:val="00E868A9"/>
    <w:rsid w:val="00E975E6"/>
    <w:rsid w:val="00EA387D"/>
    <w:rsid w:val="00EA4ADA"/>
    <w:rsid w:val="00EA5EFD"/>
    <w:rsid w:val="00EA74F7"/>
    <w:rsid w:val="00EB5037"/>
    <w:rsid w:val="00EB7C19"/>
    <w:rsid w:val="00EC4BAD"/>
    <w:rsid w:val="00EE02E2"/>
    <w:rsid w:val="00EE0E6A"/>
    <w:rsid w:val="00EE1F71"/>
    <w:rsid w:val="00EF4C94"/>
    <w:rsid w:val="00F05D17"/>
    <w:rsid w:val="00F12F50"/>
    <w:rsid w:val="00F16AD8"/>
    <w:rsid w:val="00F26D3C"/>
    <w:rsid w:val="00F335FC"/>
    <w:rsid w:val="00F3697A"/>
    <w:rsid w:val="00F44940"/>
    <w:rsid w:val="00F467D6"/>
    <w:rsid w:val="00F47C21"/>
    <w:rsid w:val="00F55528"/>
    <w:rsid w:val="00F5600B"/>
    <w:rsid w:val="00F63200"/>
    <w:rsid w:val="00F65308"/>
    <w:rsid w:val="00F653C6"/>
    <w:rsid w:val="00F7714B"/>
    <w:rsid w:val="00F84CA3"/>
    <w:rsid w:val="00F85CD4"/>
    <w:rsid w:val="00F90ABA"/>
    <w:rsid w:val="00F937F0"/>
    <w:rsid w:val="00F95510"/>
    <w:rsid w:val="00FA69A3"/>
    <w:rsid w:val="00FB4409"/>
    <w:rsid w:val="00FC797C"/>
    <w:rsid w:val="00FD7440"/>
    <w:rsid w:val="00FD7DCC"/>
    <w:rsid w:val="00FF0A6F"/>
    <w:rsid w:val="00FF36D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633FF2"/>
  <w15:chartTrackingRefBased/>
  <w15:docId w15:val="{25237132-25A9-4CCC-B072-D61136D2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14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076145"/>
    <w:pPr>
      <w:spacing w:after="0" w:line="240" w:lineRule="auto"/>
    </w:pPr>
    <w:rPr>
      <w:rFonts w:ascii="Times New Roman" w:eastAsia="Times New Roman" w:hAnsi="Times New Roman" w:cs="Times New Roman"/>
      <w:spacing w:val="-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6145"/>
    <w:rPr>
      <w:rFonts w:ascii="Times New Roman" w:eastAsia="Times New Roman" w:hAnsi="Times New Roman" w:cs="Times New Roman"/>
      <w:spacing w:val="-3"/>
      <w:sz w:val="20"/>
      <w:szCs w:val="20"/>
    </w:rPr>
  </w:style>
  <w:style w:type="character" w:styleId="FootnoteReference">
    <w:name w:val="footnote reference"/>
    <w:semiHidden/>
    <w:rsid w:val="00076145"/>
    <w:rPr>
      <w:vertAlign w:val="superscript"/>
    </w:rPr>
  </w:style>
  <w:style w:type="character" w:styleId="Hyperlink">
    <w:name w:val="Hyperlink"/>
    <w:rsid w:val="000761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FA"/>
  </w:style>
  <w:style w:type="paragraph" w:styleId="Footer">
    <w:name w:val="footer"/>
    <w:basedOn w:val="Normal"/>
    <w:link w:val="FooterChar"/>
    <w:uiPriority w:val="99"/>
    <w:unhideWhenUsed/>
    <w:rsid w:val="001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FA"/>
  </w:style>
  <w:style w:type="character" w:styleId="UnresolvedMention">
    <w:name w:val="Unresolved Mention"/>
    <w:basedOn w:val="DefaultParagraphFont"/>
    <w:uiPriority w:val="99"/>
    <w:semiHidden/>
    <w:unhideWhenUsed/>
    <w:rsid w:val="007B0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longtermcare/training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ms.gov/Medicare/Provider-Enrollment-and-Certification/GuidanceforLawsAndRegulations/Downloads/Appendix-PP-State-Operations-Manual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94D7B4875EA408790511D865369BE" ma:contentTypeVersion="7" ma:contentTypeDescription="Create a new document." ma:contentTypeScope="" ma:versionID="7f7689ae261e177245a6d2aea64755a2">
  <xsd:schema xmlns:xsd="http://www.w3.org/2001/XMLSchema" xmlns:xs="http://www.w3.org/2001/XMLSchema" xmlns:p="http://schemas.microsoft.com/office/2006/metadata/properties" xmlns:ns3="40630134-8b2e-44b5-89ec-4a9fd5334ea6" xmlns:ns4="ea872ada-39ed-421f-9b33-c2a54aef194c" targetNamespace="http://schemas.microsoft.com/office/2006/metadata/properties" ma:root="true" ma:fieldsID="25fb7135cb194c076ad44b02825e689e" ns3:_="" ns4:_="">
    <xsd:import namespace="40630134-8b2e-44b5-89ec-4a9fd5334ea6"/>
    <xsd:import namespace="ea872ada-39ed-421f-9b33-c2a54aef19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30134-8b2e-44b5-89ec-4a9fd5334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72ada-39ed-421f-9b33-c2a54aef1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BD929-337B-4250-B43B-D3D661A16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0A1A4-61C1-4D59-9660-B8505831EFCB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ea872ada-39ed-421f-9b33-c2a54aef194c"/>
    <ds:schemaRef ds:uri="40630134-8b2e-44b5-89ec-4a9fd5334ea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6EBF42F-2A8B-489E-A712-B8C3055A2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30134-8b2e-44b5-89ec-4a9fd5334ea6"/>
    <ds:schemaRef ds:uri="ea872ada-39ed-421f-9b33-c2a54aef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LaGrange</dc:creator>
  <cp:keywords/>
  <dc:description/>
  <cp:lastModifiedBy>Rebecca Siglin</cp:lastModifiedBy>
  <cp:revision>48</cp:revision>
  <dcterms:created xsi:type="dcterms:W3CDTF">2021-08-30T19:11:00Z</dcterms:created>
  <dcterms:modified xsi:type="dcterms:W3CDTF">2021-08-31T15:49:00Z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0x010100BBE94D7B4875EA408790511D865369BE</vt:lpwstr>
  </property>
</Properties>
</file>